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40" w:lineRule="auto"/>
        <w:ind w:firstLine="0" w:firstLineChars="0"/>
        <w:jc w:val="center"/>
        <w:outlineLvl w:val="9"/>
        <w:rPr>
          <w:rFonts w:ascii="仿宋" w:hAnsi="仿宋" w:eastAsia="仿宋"/>
          <w:b/>
          <w:color w:val="000000"/>
          <w:sz w:val="32"/>
          <w:szCs w:val="32"/>
        </w:rPr>
      </w:pPr>
      <w:r>
        <w:rPr>
          <w:rFonts w:hint="eastAsia" w:ascii="仿宋" w:hAnsi="仿宋" w:eastAsia="仿宋"/>
          <w:b/>
          <w:color w:val="000000"/>
          <w:sz w:val="32"/>
          <w:szCs w:val="32"/>
        </w:rPr>
        <w:t>宝安区高层次人才拟认定人选公示名单（2018年第</w:t>
      </w:r>
      <w:r>
        <w:rPr>
          <w:rFonts w:hint="eastAsia" w:ascii="仿宋" w:hAnsi="仿宋" w:eastAsia="仿宋"/>
          <w:b/>
          <w:color w:val="000000"/>
          <w:sz w:val="32"/>
          <w:szCs w:val="32"/>
          <w:lang w:eastAsia="zh-CN"/>
        </w:rPr>
        <w:t>十五</w:t>
      </w:r>
      <w:r>
        <w:rPr>
          <w:rFonts w:hint="eastAsia" w:ascii="仿宋" w:hAnsi="仿宋" w:eastAsia="仿宋"/>
          <w:b/>
          <w:color w:val="000000"/>
          <w:sz w:val="32"/>
          <w:szCs w:val="32"/>
        </w:rPr>
        <w:t>批）</w:t>
      </w:r>
    </w:p>
    <w:tbl>
      <w:tblPr>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70"/>
        <w:gridCol w:w="1185"/>
        <w:gridCol w:w="2641"/>
        <w:gridCol w:w="4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5" w:hRule="atLeast"/>
        </w:trPr>
        <w:tc>
          <w:tcPr>
            <w:tcW w:w="915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bdr w:val="none" w:color="auto" w:sz="0" w:space="0"/>
                <w:lang w:val="en-US" w:eastAsia="zh-CN" w:bidi="ar"/>
              </w:rPr>
              <w:t>宝安区高层次产业类人才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姓名</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工作单位</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所符合的认定条件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雷宝灵</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深圳市合元科技有限公司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在基础科学、工程科技、生物科技、医药科技、信息科技等专业领域，具有正高级专业技术资格或具有全日制博士学历学位且在宝安区国家级高新技术企业从事科技研发工作满 1 年的人员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胡杰 </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深圳市合元科技有限公司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在基础科学、工程科技、生物科技、医药科技、信息科技等专业领域，具有正高级专业技术</w:t>
            </w:r>
            <w:bookmarkStart w:id="0" w:name="_GoBack"/>
            <w:bookmarkEnd w:id="0"/>
            <w:r>
              <w:rPr>
                <w:rFonts w:hint="eastAsia" w:ascii="仿宋" w:hAnsi="仿宋" w:eastAsia="仿宋" w:cs="仿宋"/>
                <w:i w:val="0"/>
                <w:color w:val="000000"/>
                <w:kern w:val="0"/>
                <w:sz w:val="28"/>
                <w:szCs w:val="28"/>
                <w:u w:val="none"/>
                <w:bdr w:val="none" w:color="auto" w:sz="0" w:space="0"/>
                <w:lang w:val="en-US" w:eastAsia="zh-CN" w:bidi="ar"/>
              </w:rPr>
              <w:t>资格或具有全日制博士学历学位且在宝安区国家级高新技术企业从事科技研发工作满 1 年的人员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王锐</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中电建生态环境集团有限公司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在基础科学、工程科技、生物科技、医药科技、信息科技等专业领域，具有正高级专业技术资格或具有全日制博士学历学位且在宝安区国家级高新技术企业从事科技研发工作满 1 年的人员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张天星 </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深圳市永能机械有限公司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在高新技术产业领域，拥有 5 件及以上发明专利或通过 PCT 申请并获得 2 件及以上国际专利，且均为前二位的完成人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于永祥 </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深圳市创亿欣精密电子股份有限公司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在高新技术产业领域，拥有 5 件及以上发明专利或通过 PCT 申请并获得 2 件及以上国际专利，且均为前二位的完成人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杨小标 </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深圳市凯力诚实业发展有限公司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在高新技术产业领域，拥有 5 件及以上发明专利或通过 PCT 申请并获得 2 件及以上国际专利，且均为前二位的完成人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陈洵勇 </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深圳市亿牛国际科技有限公司  </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在高新技术产业领域，拥有 5 件及以上发明专利或通过 PCT 申请并获得 2 件及以上国际专利，且均为前二位的完成人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杜海荣 </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深圳市雷诺表业有限公司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国际国内标准化专业技术委员会、分技术委员会或工作组的委员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詹西洲 </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深圳市雷诺表业有限公司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国际国内标准化专业技术委员会、分技术委员会或工作组的委员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方鹏 </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深圳市世椿智能装备股份有限公司  </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拥有国际或国内发明专利，且年纳税额300万元及以上的国家级高新技术企业首席技术专家或研发负责人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JINGHUI LI</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北极光电（深圳）有限公司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在基础科学、工程科技、生物科技、医药科技、信息科技等专业领域，具有正高级专业技术资格或具有全日制博士学历学位且在宝安区国家级高新技术企业从事科技研发工作满 1 年的人员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罗天珍 </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深圳市人彩科技有限公司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在高新技术产业领域，拥有 5 件及以上发明专利或通过 PCT 申请并获得 2 件及以上国际专利，且均为前二位的完成人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谭春晖</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深圳美克激光设备有限公司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上一年度宝安区五类百强企业的高级管理人员（创新百强）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刘玟璇</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深圳市卓越佳鸿汽车销售服务有限公司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上一年度宝安区五类百强企业的高级管理人员（纳税百强）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雷国平</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深圳市德威精密模具有限公司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上一年度宝安区五类百强企业的高级管理人员（创新百强）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张宇平</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格林美股份有限公司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上市企业的高级管理人员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李志书</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深圳市德普投资发展有限公司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上一年度宝安区五类百强企业的高级管理人员（纳税百强）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许世爱</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深圳市宝安东江环保技术有限公司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上一年度宝安区五类百强企业的高级管理人员（创新百强）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19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王丽云</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深圳市爱奇迹科技有限公司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上一年度宝安区五类百强企业的高级管理人员（出口百强）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刘玉峰</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深圳市嘉康惠宝肉业有限公司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上一年度宝安区五类百强企业的高级管理人员（产值百强）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张兵</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深圳市景创科技电子有限公司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上一年度宝安区五类百强企业的高级管理人员（创新百强）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贺显军</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法雷奥汽车内部控制（深圳）有限公司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宋昌宁</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深圳新益昌科技股份有限公司（变更前：深圳市新益昌自动化设备有限公司）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上一年度宝安区五类百强企业的高级管理人员（创新百强）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甘周聪</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深圳市联域光电有限公司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上一年度宝安区五类百强企业的高级管理人员（出口百强）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黎前军</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深圳市远望工业自动化设备有限公司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上一年度宝安区五类百强企业的高级管理人员（创新百强）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杨炳南</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深圳市星火数控技术有限公司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上一年度宝安区五类百强企业的高级管理人员（创新百强）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郭闯</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深圳市铁甲科技有限公司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上一年度宝安区五类百强企业的高级管理人员（创新百强）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钟昌良</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深圳市聚维电子科技有限公司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上一年度宝安区五类百强企业的高级管理人员（出口百强）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29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郭群涛</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深圳爱克莱特科技股份有限公司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上一年度宝安区五类百强企业的高级管理人员（纳税百强）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彭康鑫</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深圳市易尚展示股份有限公司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上市公司的高级管理人员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15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bdr w:val="none" w:color="auto" w:sz="0" w:space="0"/>
                <w:lang w:val="en-US" w:eastAsia="zh-CN" w:bidi="ar"/>
              </w:rPr>
              <w:t>宝安区高层次卫生类人才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文章</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宝安中医院（集团）</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在三甲医院或地市级及以上公共卫生机构工作满3年、具备全日制硕士及以上学历学位且取得副高级及以上专业技术资格的人才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皮鹰</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宝安中医院（集团）</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在三甲医院或地市级及以上公共卫生机构工作满3年、具备全日制硕士及以上学历学位且取得副高级及以上专业技术资格的人才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刘保华</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宝安区妇幼保健院</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50周岁以下，具有正高级专业技术资格的人员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孙哲</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宝安纯中医治疗医院</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50周岁以下，具有正高级专业技术资格的人员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艾诗奇</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宝安纯中医治疗医院</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50周岁以下，具有正高级专业技术资格的人员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朱小虎</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宝安纯中医治疗医院</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50周岁以下，具有正高级专业技术资格的人员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张海文</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宝安区石岩人民医院</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在三甲医院或地市级及以上公共卫生机构工作满3年、具备全日制硕士及以上学历学位且取得副高级及以上专业技术资格的人才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刑茂娟</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宝安区石岩人民医院</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在三甲医院或地市级及以上公共卫生机构工作满3年、具备全日制硕士及以上学历学位且取得副高级及以上专业技术资格的人才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15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bdr w:val="none" w:color="auto" w:sz="0" w:space="0"/>
                <w:lang w:val="en-US" w:eastAsia="zh-CN" w:bidi="ar"/>
              </w:rPr>
              <w:t>宝安区高层次综合类人才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39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谢振华</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维沃移动通信（深圳）有限公司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经认定且在任期内的深圳市高层次专业人才（国家级）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戴柱</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邦泰生物工程（深圳）有限公司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经认定且在任期内的深圳市高层次专业人才（地方级）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唐志刚</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深圳市碧有科技有限公司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经认定且在任期内的深圳市高层次专业人才（地方级）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李平</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深圳市兆威机电股份有限公司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经认定且在任期内的深圳市高层次专业人才（地方级）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姜发明</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深圳市南极光电子科技股份有限公司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经认定且在任期内的深圳市高层次专业人才（地方级）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关颖健</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深圳市易尚展示股份有限公司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陈文聪</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深圳市爱科三维科技有限公司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董宁</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华测检测认证集团股份有限公司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邱锐新</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深圳市英威腾智能控制有限公司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吴伟</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深圳麦克韦尔科技有限公司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49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向春</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深圳市正佑数控机床有限公司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李郑发</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深圳力合精密装备科技有限公司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傅岳龙</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深圳市合元科技有限公司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52</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莫高权</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深圳市艾华迪技术有限公司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53</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何述科</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深圳市智创电机有限公司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54</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李强</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广东太阳库新能源科技有限公司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55</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武建</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深圳市合元科技有限公司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经认定且在任期内的深圳市高层次专业人才（后备级）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56</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尹东富</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顺丰速运有限公司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经认定的国(境)内外博士后出站人员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57</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刘畅</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深圳市奥斯科尔电子有限公司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经认定的国(境)内外博士后出站人员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骆成</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知时科技（深圳）有限公司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经认定的国(境)内外博士后出站人员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59</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吕斌</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深圳市生生凡非基因技术有限公司</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经认定的国(境)内外博士后出站人员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60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王明明</w:t>
            </w:r>
          </w:p>
        </w:tc>
        <w:tc>
          <w:tcPr>
            <w:tcW w:w="2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深圳市宝安区青少年业余体育学校</w:t>
            </w:r>
          </w:p>
        </w:tc>
        <w:tc>
          <w:tcPr>
            <w:tcW w:w="4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宝安区重点普及发展的体育运动项目各年龄段国家队教练、省队主教练，或省运会、锦标赛前三名的运动队、运动员的主教练</w:t>
            </w:r>
          </w:p>
        </w:tc>
      </w:tr>
    </w:tbl>
    <w:p>
      <w:pPr>
        <w:keepNext w:val="0"/>
        <w:keepLines w:val="0"/>
        <w:pageBreakBefore w:val="0"/>
        <w:kinsoku/>
        <w:wordWrap/>
        <w:overflowPunct/>
        <w:topLinePunct w:val="0"/>
        <w:autoSpaceDE/>
        <w:autoSpaceDN/>
        <w:bidi w:val="0"/>
        <w:spacing w:line="240" w:lineRule="auto"/>
        <w:ind w:firstLine="0" w:firstLineChars="0"/>
        <w:jc w:val="center"/>
        <w:outlineLvl w:val="9"/>
        <w:rPr>
          <w:rFonts w:eastAsiaTheme="minorEastAsia"/>
          <w:sz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B7BD2"/>
    <w:multiLevelType w:val="multilevel"/>
    <w:tmpl w:val="41AB7BD2"/>
    <w:lvl w:ilvl="0" w:tentative="0">
      <w:start w:val="1"/>
      <w:numFmt w:val="chineseCountingThousand"/>
      <w:pStyle w:val="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A5680C"/>
    <w:multiLevelType w:val="multilevel"/>
    <w:tmpl w:val="55A5680C"/>
    <w:lvl w:ilvl="0" w:tentative="0">
      <w:start w:val="1"/>
      <w:numFmt w:val="decimal"/>
      <w:pStyle w:val="1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6C"/>
    <w:rsid w:val="000B4D2C"/>
    <w:rsid w:val="00115A27"/>
    <w:rsid w:val="001E476C"/>
    <w:rsid w:val="002420B0"/>
    <w:rsid w:val="00310FC6"/>
    <w:rsid w:val="00386B40"/>
    <w:rsid w:val="003E2647"/>
    <w:rsid w:val="006B1D94"/>
    <w:rsid w:val="00814653"/>
    <w:rsid w:val="0082050D"/>
    <w:rsid w:val="00C51EC9"/>
    <w:rsid w:val="00CB2755"/>
    <w:rsid w:val="00CB6AE5"/>
    <w:rsid w:val="00CF6181"/>
    <w:rsid w:val="00E228B0"/>
    <w:rsid w:val="00FF705B"/>
    <w:rsid w:val="05DF45AF"/>
    <w:rsid w:val="511E79F4"/>
    <w:rsid w:val="6B8F46CD"/>
    <w:rsid w:val="6C1C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2"/>
    <w:basedOn w:val="1"/>
    <w:next w:val="1"/>
    <w:link w:val="9"/>
    <w:semiHidden/>
    <w:unhideWhenUsed/>
    <w:uiPriority w:val="9"/>
    <w:pPr>
      <w:keepNext/>
      <w:keepLines/>
      <w:outlineLvl w:val="1"/>
    </w:pPr>
    <w:rPr>
      <w:rFonts w:asciiTheme="majorHAnsi" w:hAnsiTheme="majorHAnsi" w:cstheme="majorBidi"/>
      <w:b/>
      <w:bCs/>
      <w:szCs w:val="32"/>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级别一"/>
    <w:basedOn w:val="8"/>
    <w:uiPriority w:val="0"/>
    <w:pPr>
      <w:numPr>
        <w:ilvl w:val="0"/>
        <w:numId w:val="1"/>
      </w:numPr>
      <w:ind w:firstLine="0" w:firstLineChars="0"/>
      <w:jc w:val="left"/>
      <w:outlineLvl w:val="0"/>
    </w:pPr>
    <w:rPr>
      <w:rFonts w:ascii="宋体" w:hAnsi="宋体"/>
      <w:b/>
    </w:rPr>
  </w:style>
  <w:style w:type="paragraph" w:styleId="8">
    <w:name w:val="List Paragraph"/>
    <w:basedOn w:val="1"/>
    <w:qFormat/>
    <w:uiPriority w:val="34"/>
    <w:pPr>
      <w:ind w:firstLine="420"/>
    </w:pPr>
  </w:style>
  <w:style w:type="character" w:customStyle="1" w:styleId="9">
    <w:name w:val="标题 2 字符"/>
    <w:basedOn w:val="5"/>
    <w:link w:val="2"/>
    <w:semiHidden/>
    <w:uiPriority w:val="9"/>
    <w:rPr>
      <w:rFonts w:eastAsia="宋体" w:asciiTheme="majorHAnsi" w:hAnsiTheme="majorHAnsi" w:cstheme="majorBidi"/>
      <w:b/>
      <w:bCs/>
      <w:sz w:val="24"/>
      <w:szCs w:val="32"/>
    </w:rPr>
  </w:style>
  <w:style w:type="paragraph" w:customStyle="1" w:styleId="10">
    <w:name w:val="级别四"/>
    <w:basedOn w:val="8"/>
    <w:link w:val="11"/>
    <w:qFormat/>
    <w:uiPriority w:val="0"/>
    <w:pPr>
      <w:numPr>
        <w:ilvl w:val="0"/>
        <w:numId w:val="2"/>
      </w:numPr>
      <w:adjustRightInd w:val="0"/>
      <w:snapToGrid w:val="0"/>
      <w:ind w:left="420" w:hanging="420" w:firstLineChars="0"/>
      <w:outlineLvl w:val="3"/>
    </w:pPr>
    <w:rPr>
      <w:b/>
      <w:szCs w:val="24"/>
    </w:rPr>
  </w:style>
  <w:style w:type="character" w:customStyle="1" w:styleId="11">
    <w:name w:val="级别四 字符"/>
    <w:basedOn w:val="5"/>
    <w:link w:val="10"/>
    <w:qFormat/>
    <w:uiPriority w:val="0"/>
    <w:rPr>
      <w:rFonts w:eastAsia="宋体"/>
      <w:b/>
      <w:sz w:val="24"/>
      <w:szCs w:val="24"/>
    </w:rPr>
  </w:style>
  <w:style w:type="character" w:customStyle="1" w:styleId="12">
    <w:name w:val="页眉 字符"/>
    <w:basedOn w:val="5"/>
    <w:link w:val="4"/>
    <w:qFormat/>
    <w:uiPriority w:val="99"/>
    <w:rPr>
      <w:rFonts w:eastAsia="宋体"/>
      <w:sz w:val="18"/>
      <w:szCs w:val="18"/>
    </w:rPr>
  </w:style>
  <w:style w:type="character" w:customStyle="1" w:styleId="13">
    <w:name w:val="页脚 字符"/>
    <w:basedOn w:val="5"/>
    <w:link w:val="3"/>
    <w:qFormat/>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Words>
  <Characters>186</Characters>
  <Lines>1</Lines>
  <Paragraphs>1</Paragraphs>
  <TotalTime>22</TotalTime>
  <ScaleCrop>false</ScaleCrop>
  <LinksUpToDate>false</LinksUpToDate>
  <CharactersWithSpaces>217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2018-10-28T13:08:00Z</dcterms:created>
  <dc:creator>小津映画</dc:creator>
  <cp:lastModifiedBy>未定义</cp:lastModifiedBy>
  <dcterms:modified xsi:type="dcterms:W3CDTF">2019-10-14T09:47:53Z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