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val="0"/>
        <w:pageBreakBefore w:val="0"/>
        <w:kinsoku/>
        <w:wordWrap/>
        <w:overflowPunct/>
        <w:topLinePunct w:val="0"/>
        <w:autoSpaceDN/>
        <w:bidi w:val="0"/>
        <w:spacing w:line="56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kern w:val="2"/>
          <w:sz w:val="44"/>
          <w:szCs w:val="44"/>
          <w:lang w:val="en-US" w:eastAsia="zh-CN" w:bidi="ar"/>
        </w:rPr>
        <w:t>光明新区经济发展专项资金支持经贸会展活动资助实施细则</w:t>
      </w:r>
    </w:p>
    <w:p>
      <w:pPr>
        <w:pStyle w:val="4"/>
        <w:keepLines w:val="0"/>
        <w:pageBreakBefore w:val="0"/>
        <w:kinsoku/>
        <w:wordWrap/>
        <w:overflowPunct/>
        <w:topLinePunct w:val="0"/>
        <w:autoSpaceDN/>
        <w:bidi w:val="0"/>
        <w:spacing w:line="560" w:lineRule="exact"/>
        <w:jc w:val="center"/>
        <w:textAlignment w:val="auto"/>
        <w:rPr>
          <w:rFonts w:hint="eastAsia" w:ascii="仿宋_GB2312" w:hAnsi="仿宋_GB2312" w:eastAsia="仿宋_GB2312" w:cs="仿宋_GB2312"/>
          <w:sz w:val="32"/>
          <w:szCs w:val="32"/>
        </w:rPr>
      </w:pPr>
    </w:p>
    <w:p>
      <w:pPr>
        <w:pStyle w:val="4"/>
        <w:keepLines w:val="0"/>
        <w:pageBreakBefore w:val="0"/>
        <w:kinsoku/>
        <w:wordWrap/>
        <w:overflowPunct/>
        <w:topLinePunct w:val="0"/>
        <w:autoSpaceDN/>
        <w:bidi w:val="0"/>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第一章  总则</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sz w:val="32"/>
          <w:szCs w:val="32"/>
        </w:rPr>
        <w:t xml:space="preserve"> 为支持光明新区企事业单位通过国内外展会平台开拓市场，提高光明新区及辖区内企业的知名度和美誉度，扶持本土企业做强做大，根据《光明新区经济发展专项资金管理办法》（以下简称《专项资金管理办法》），制定本实施细则。</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sz w:val="32"/>
          <w:szCs w:val="32"/>
        </w:rPr>
        <w:t xml:space="preserve"> 对经贸会展活动资助实行总额控制、自愿申报、政府决策的原则。</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申请经贸会展活动资助的单位应为在光明新区依法注册的法人单位，或者承办国内外经贸会展活动的服务机构。</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sz w:val="32"/>
          <w:szCs w:val="32"/>
        </w:rPr>
        <w:t xml:space="preserve"> 对经贸会展活动资助采取报销制，即：申请单位根据活动费用支出情况，向光明新区产业主管部门提出申请；通过相关审批程序后，资助款一次性拨付给申请单位，申请单位须在活动结束一年以内提出资助申请。</w:t>
      </w:r>
    </w:p>
    <w:p>
      <w:pPr>
        <w:keepNext/>
        <w:keepLines w:val="0"/>
        <w:pageBreakBefore w:val="0"/>
        <w:numPr>
          <w:ilvl w:val="0"/>
          <w:numId w:val="1"/>
        </w:numPr>
        <w:kinsoku/>
        <w:wordWrap/>
        <w:overflowPunct/>
        <w:topLinePunct w:val="0"/>
        <w:autoSpaceDN/>
        <w:bidi w:val="0"/>
        <w:spacing w:line="560" w:lineRule="exact"/>
        <w:contextualSpacing/>
        <w:jc w:val="center"/>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第二章  资助内容与标准</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sz w:val="32"/>
          <w:szCs w:val="32"/>
        </w:rPr>
        <w:t xml:space="preserve"> 企业随光明新区组团参加国内经贸会展活动的，</w:t>
      </w:r>
      <w:r>
        <w:rPr>
          <w:rFonts w:hint="eastAsia" w:ascii="仿宋_GB2312" w:hAnsi="仿宋_GB2312" w:eastAsia="仿宋_GB2312" w:cs="仿宋_GB2312"/>
          <w:kern w:val="0"/>
          <w:sz w:val="32"/>
          <w:szCs w:val="32"/>
        </w:rPr>
        <w:t>给予展位租赁费、展位装修费、交通食宿费等参展费用最高100％的资助，单次资助总额最高20万元</w:t>
      </w:r>
      <w:r>
        <w:rPr>
          <w:rFonts w:hint="eastAsia" w:ascii="仿宋_GB2312" w:hAnsi="仿宋_GB2312" w:eastAsia="仿宋_GB2312" w:cs="仿宋_GB2312"/>
          <w:sz w:val="32"/>
          <w:szCs w:val="32"/>
        </w:rPr>
        <w:t>，属于粤港澳大湾区发展规划、“一带一路”主题的相关经贸会展活动单次资助总额最高30万元。</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sz w:val="32"/>
          <w:szCs w:val="32"/>
        </w:rPr>
        <w:t xml:space="preserve"> 企业随光明新区组团参加国外经贸会展活动的，给予展位租赁费、展位装修费、交通食宿费等参展费用最高100％的资助，单次资助总额最高30万元，属于“一带一路”沿线国家（地区）举办的相关经贸会展活动单次资助总额最高40万元。</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企业参加光明新区计划内其他国内外经贸会展活动的，给予展位租赁费、展位装修费、交通食宿费等参展费用最高100％的资助，国内单次资助总额最高10万元，国外单次资助总额最高15万元。</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每家企一个会计年度申请经贸会展活动的资助最高100万元，光明新区经济发展专项资金管理联席会议另行议定的不受此限。</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sz w:val="32"/>
          <w:szCs w:val="32"/>
        </w:rPr>
        <w:t xml:space="preserve"> 服务机构承办光明新区计划内国内外经贸会展活动的，经光明新区经济发展专项资金管理联席会议审议，按规定报销其场地租赁、装修、布置、设备租赁、招商资料印刷、翻译等相关服务费用及食宿、交通等团费。</w:t>
      </w:r>
    </w:p>
    <w:p>
      <w:pPr>
        <w:pStyle w:val="5"/>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sz w:val="32"/>
          <w:szCs w:val="32"/>
        </w:rPr>
        <w:t xml:space="preserve"> 企业参加或服务机构承办光明新区计划外其他国内外经贸会展活动的，由光明新区经济发展专项资金管理联席会议审定后给予相关资助。</w:t>
      </w:r>
    </w:p>
    <w:p>
      <w:pPr>
        <w:keepNext/>
        <w:keepLines w:val="0"/>
        <w:pageBreakBefore w:val="0"/>
        <w:numPr>
          <w:ilvl w:val="0"/>
          <w:numId w:val="1"/>
        </w:numPr>
        <w:kinsoku/>
        <w:wordWrap/>
        <w:overflowPunct/>
        <w:topLinePunct w:val="0"/>
        <w:autoSpaceDN/>
        <w:bidi w:val="0"/>
        <w:spacing w:line="560" w:lineRule="exact"/>
        <w:contextualSpacing/>
        <w:jc w:val="center"/>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第三章  申请与受理</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第十一条</w:t>
      </w:r>
      <w:r>
        <w:rPr>
          <w:rFonts w:hint="eastAsia" w:ascii="仿宋_GB2312" w:hAnsi="仿宋_GB2312" w:eastAsia="仿宋_GB2312" w:cs="仿宋_GB2312"/>
          <w:sz w:val="32"/>
          <w:szCs w:val="32"/>
        </w:rPr>
        <w:t xml:space="preserve"> 申请单位向光明新区产业主管部门提出项目资助申请，按要求据实提供相应的申请资料。需退回的资料原件须经光明新区产业主管部门验明原件，留存复印件。</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申请经贸会展活动资助须填写《光明新区经贸会展活动资助申请表》并提交以下申请材料：</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（一）申请经贸会展活动费用支出相关凭证；</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（二）经贸会展活动总结报告；</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（三）申请单位组织机构代码证和法定代表人身份证；</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（四）申请单位上一会计年度的年度审计报告及最近一个月的会计报表；</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（五）由税务部门提供的企业上一年度的纳税证明（非盈利性机构除外）；</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（六）光明新区产业主管部门要求提交的其他资料。 </w:t>
      </w:r>
    </w:p>
    <w:p>
      <w:pPr>
        <w:pStyle w:val="5"/>
        <w:keepLines w:val="0"/>
        <w:pageBreakBefore w:val="0"/>
        <w:numPr>
          <w:ilvl w:val="0"/>
          <w:numId w:val="1"/>
        </w:numPr>
        <w:kinsoku/>
        <w:wordWrap/>
        <w:overflowPunct/>
        <w:topLinePunct w:val="0"/>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sz w:val="32"/>
          <w:szCs w:val="32"/>
        </w:rPr>
        <w:t xml:space="preserve"> 新区产业主管部门受理申请单位的申请材料时，应进行形式审查。形式审查合格的，发给受理回执。申请材料存在可以当场更正的错误的,由申请人当场更正，申请材料不齐全或者不符合法定形式的，由受理部门当场或者在五日内一次告知申请人需要补正的全部内容，并将申请材料退回申请单位。</w:t>
      </w:r>
    </w:p>
    <w:p>
      <w:pPr>
        <w:keepLines w:val="0"/>
        <w:pageBreakBefore w:val="0"/>
        <w:kinsoku/>
        <w:wordWrap/>
        <w:overflowPunct/>
        <w:topLinePunct w:val="0"/>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审核与批准</w:t>
      </w:r>
    </w:p>
    <w:p>
      <w:pPr>
        <w:keepLines w:val="0"/>
        <w:pageBreakBefore w:val="0"/>
        <w:kinsoku/>
        <w:wordWrap/>
        <w:overflowPunct/>
        <w:topLinePunct w:val="0"/>
        <w:autoSpaceDN/>
        <w:bidi w:val="0"/>
        <w:adjustRightInd w:val="0"/>
        <w:snapToGrid w:val="0"/>
        <w:spacing w:line="560" w:lineRule="exact"/>
        <w:ind w:firstLine="627" w:firstLineChars="196"/>
        <w:textAlignment w:val="auto"/>
        <w:rPr>
          <w:rFonts w:hint="eastAsia" w:ascii="仿宋_GB2312" w:hAnsi="仿宋_GB2312" w:eastAsia="仿宋_GB2312" w:cs="仿宋_GB2312"/>
          <w:kern w:val="0"/>
          <w:sz w:val="32"/>
          <w:szCs w:val="32"/>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sz w:val="32"/>
          <w:szCs w:val="32"/>
        </w:rPr>
        <w:t xml:space="preserve"> 新区产业主管</w:t>
      </w:r>
      <w:r>
        <w:rPr>
          <w:rFonts w:hint="eastAsia" w:ascii="仿宋_GB2312" w:hAnsi="仿宋_GB2312" w:eastAsia="仿宋_GB2312" w:cs="仿宋_GB2312"/>
          <w:kern w:val="0"/>
          <w:sz w:val="32"/>
          <w:szCs w:val="32"/>
        </w:rPr>
        <w:t>部门对形式审查合格的</w:t>
      </w:r>
      <w:r>
        <w:rPr>
          <w:rFonts w:hint="eastAsia" w:ascii="仿宋_GB2312" w:hAnsi="仿宋_GB2312" w:eastAsia="仿宋_GB2312" w:cs="仿宋_GB2312"/>
          <w:sz w:val="32"/>
          <w:szCs w:val="32"/>
        </w:rPr>
        <w:t>资助</w:t>
      </w:r>
      <w:r>
        <w:rPr>
          <w:rFonts w:hint="eastAsia" w:ascii="仿宋_GB2312" w:hAnsi="仿宋_GB2312" w:eastAsia="仿宋_GB2312" w:cs="仿宋_GB2312"/>
          <w:kern w:val="0"/>
          <w:sz w:val="32"/>
          <w:szCs w:val="32"/>
        </w:rPr>
        <w:t>项目申请进行初审，重点审核申请资料的真实性。对需要进行专项评审的项目，由</w:t>
      </w:r>
      <w:r>
        <w:rPr>
          <w:rFonts w:hint="eastAsia" w:ascii="仿宋_GB2312" w:hAnsi="仿宋_GB2312" w:eastAsia="仿宋_GB2312" w:cs="仿宋_GB2312"/>
          <w:sz w:val="32"/>
          <w:szCs w:val="32"/>
        </w:rPr>
        <w:t>新区产业主管</w:t>
      </w:r>
      <w:r>
        <w:rPr>
          <w:rFonts w:hint="eastAsia" w:ascii="仿宋_GB2312" w:hAnsi="仿宋_GB2312" w:eastAsia="仿宋_GB2312" w:cs="仿宋_GB2312"/>
          <w:kern w:val="0"/>
          <w:sz w:val="32"/>
          <w:szCs w:val="32"/>
        </w:rPr>
        <w:t>部门按照《</w:t>
      </w:r>
      <w:r>
        <w:rPr>
          <w:rFonts w:hint="eastAsia" w:ascii="仿宋_GB2312" w:hAnsi="仿宋_GB2312" w:eastAsia="仿宋_GB2312" w:cs="仿宋_GB2312"/>
          <w:kern w:val="0"/>
          <w:sz w:val="32"/>
          <w:szCs w:val="32"/>
          <w:lang w:eastAsia="zh-CN"/>
        </w:rPr>
        <w:t>光明新区经济服务局专家管理及项目评审操作规程</w:t>
      </w:r>
      <w:r>
        <w:rPr>
          <w:rFonts w:hint="eastAsia" w:ascii="仿宋_GB2312" w:hAnsi="仿宋_GB2312" w:eastAsia="仿宋_GB2312" w:cs="仿宋_GB2312"/>
          <w:kern w:val="0"/>
          <w:sz w:val="32"/>
          <w:szCs w:val="32"/>
        </w:rPr>
        <w:t>》其他相关规定组织专家进行评审。</w:t>
      </w:r>
    </w:p>
    <w:p>
      <w:pPr>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sz w:val="32"/>
          <w:szCs w:val="32"/>
        </w:rPr>
        <w:t xml:space="preserve"> 新区产业主管部门视具体情况决定是否对申请单位进行实地考察。需要实地考察的，由新区产业主管部门负责组织考察组，对申请单位实际情况与申请材料是否一致进行实地考察。实地考察的工作人员应为两名或以上。实地考察人员作为责任人，考察后须出具统一格式的书面考察报告并签名。</w:t>
      </w:r>
    </w:p>
    <w:p>
      <w:pPr>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sz w:val="32"/>
          <w:szCs w:val="32"/>
        </w:rPr>
        <w:t xml:space="preserve"> 新区产业主管部门根据以上审核、评审和考察结果，提出资助名单和资助额度的初步方案，单笔资助金额在20万元以内（含本数）的，经业务主管部门审核后报新区财政部门审核拨付；单笔资助金额在20-100万元（含本数）的，报新区业务分管领导审批后送新区财政部门拨付；单笔资助金额在100万元以上的，报新区经济发展专项资金管理联席会议审批后送新区财政部门拨付。</w:t>
      </w:r>
    </w:p>
    <w:p>
      <w:pPr>
        <w:keepLines w:val="0"/>
        <w:pageBreakBefore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拟</w:t>
      </w:r>
      <w:r>
        <w:rPr>
          <w:rFonts w:hint="eastAsia" w:ascii="仿宋_GB2312" w:hAnsi="仿宋_GB2312" w:eastAsia="仿宋_GB2312" w:cs="仿宋_GB2312"/>
          <w:sz w:val="32"/>
          <w:szCs w:val="32"/>
        </w:rPr>
        <w:t>资助</w:t>
      </w:r>
      <w:r>
        <w:rPr>
          <w:rFonts w:hint="eastAsia" w:ascii="仿宋_GB2312" w:hAnsi="仿宋_GB2312" w:eastAsia="仿宋_GB2312" w:cs="仿宋_GB2312"/>
          <w:kern w:val="0"/>
          <w:sz w:val="32"/>
          <w:szCs w:val="32"/>
        </w:rPr>
        <w:t>项目由</w:t>
      </w:r>
      <w:r>
        <w:rPr>
          <w:rFonts w:hint="eastAsia" w:ascii="仿宋_GB2312" w:hAnsi="仿宋_GB2312" w:eastAsia="仿宋_GB2312" w:cs="仿宋_GB2312"/>
          <w:sz w:val="32"/>
          <w:szCs w:val="32"/>
        </w:rPr>
        <w:t>新区产业主管</w:t>
      </w:r>
      <w:r>
        <w:rPr>
          <w:rFonts w:hint="eastAsia" w:ascii="仿宋_GB2312" w:hAnsi="仿宋_GB2312" w:eastAsia="仿宋_GB2312" w:cs="仿宋_GB2312"/>
          <w:kern w:val="0"/>
          <w:sz w:val="32"/>
          <w:szCs w:val="32"/>
        </w:rPr>
        <w:t>部门进行公示，公示期不得少于5个工作日。</w:t>
      </w:r>
      <w:r>
        <w:rPr>
          <w:rFonts w:hint="eastAsia" w:ascii="仿宋_GB2312" w:hAnsi="仿宋_GB2312" w:eastAsia="仿宋_GB2312" w:cs="仿宋_GB2312"/>
          <w:sz w:val="32"/>
          <w:szCs w:val="32"/>
        </w:rPr>
        <w:t>公示期间，任何单位或个人对资助项目有异议的，可向新区产业主管部门提出，新区产业主管部门应立即着手调查，并出具调查结论报告。公示期满，无异议或者异议不成立的，新区产业主管部门出具拨款通知书</w:t>
      </w:r>
      <w:r>
        <w:rPr>
          <w:rFonts w:hint="eastAsia" w:ascii="仿宋_GB2312" w:hAnsi="仿宋_GB2312" w:eastAsia="仿宋_GB2312" w:cs="仿宋_GB2312"/>
          <w:kern w:val="0"/>
          <w:sz w:val="32"/>
          <w:szCs w:val="32"/>
        </w:rPr>
        <w:t>。公示有异议的，由联席会议办公室统一受理，交新区产业主管部门重审。重审后证明异议内容属实的，专项资金不予资助，并将处理情况报联席会议办公室备案。</w:t>
      </w:r>
    </w:p>
    <w:p>
      <w:pPr>
        <w:pStyle w:val="5"/>
        <w:keepLines w:val="0"/>
        <w:pageBreakBefore w:val="0"/>
        <w:tabs>
          <w:tab w:val="left" w:pos="0"/>
        </w:tabs>
        <w:kinsoku/>
        <w:wordWrap/>
        <w:overflowPunct/>
        <w:topLinePunct w:val="0"/>
        <w:autoSpaceDN/>
        <w:bidi w:val="0"/>
        <w:spacing w:line="560" w:lineRule="exact"/>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第五章  管理与监督</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sz w:val="32"/>
          <w:szCs w:val="32"/>
        </w:rPr>
        <w:t xml:space="preserve"> 申请单位须保证所报资料的真实性，弄虚作假者，永久取消其申请资格，追缴已拨付资金，公布、通报其行为，并依法追究法律责任。</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第十九条</w:t>
      </w:r>
      <w:r>
        <w:rPr>
          <w:rFonts w:hint="eastAsia" w:ascii="仿宋_GB2312" w:hAnsi="仿宋_GB2312" w:eastAsia="仿宋_GB2312" w:cs="仿宋_GB2312"/>
          <w:sz w:val="32"/>
          <w:szCs w:val="32"/>
        </w:rPr>
        <w:t xml:space="preserve"> 光明新区产业主管部门依照政府采购相关法律法规规定选取注册会计师或专业机构，委托其承担相关财务审核工作。</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第二十条</w:t>
      </w:r>
      <w:r>
        <w:rPr>
          <w:rFonts w:hint="eastAsia" w:ascii="仿宋_GB2312" w:hAnsi="仿宋_GB2312" w:eastAsia="仿宋_GB2312" w:cs="仿宋_GB2312"/>
          <w:sz w:val="32"/>
          <w:szCs w:val="32"/>
        </w:rPr>
        <w:t xml:space="preserve"> 注册会计师或专业机构须坚守职业道德，保证财务审核的真实性和公正性。弄虚作假者，永久取消其参与光明新区相关审核的资格，公布、通报其行为，并依法追究法律责任。</w:t>
      </w:r>
    </w:p>
    <w:p>
      <w:pPr>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第二十一条</w:t>
      </w:r>
      <w:r>
        <w:rPr>
          <w:rFonts w:hint="eastAsia" w:ascii="仿宋_GB2312" w:hAnsi="仿宋_GB2312" w:eastAsia="仿宋_GB2312" w:cs="仿宋_GB2312"/>
          <w:sz w:val="32"/>
          <w:szCs w:val="32"/>
        </w:rPr>
        <w:t xml:space="preserve"> 新区产业主管部门在市或新区专家库内，按专业领域随机抽取专家，委托其承担技术评审工作。</w:t>
      </w:r>
    </w:p>
    <w:p>
      <w:pPr>
        <w:keepLines w:val="0"/>
        <w:pageBreakBefore w:val="0"/>
        <w:kinsoku/>
        <w:wordWrap/>
        <w:overflowPunct/>
        <w:topLinePunct w:val="0"/>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kern w:val="2"/>
          <w:sz w:val="32"/>
          <w:szCs w:val="32"/>
          <w:lang w:val="en-US" w:eastAsia="zh-CN" w:bidi="ar-SA"/>
        </w:rPr>
        <w:t xml:space="preserve"> 第二十二条</w:t>
      </w:r>
      <w:r>
        <w:rPr>
          <w:rFonts w:hint="eastAsia" w:ascii="仿宋_GB2312" w:hAnsi="仿宋_GB2312" w:eastAsia="仿宋_GB2312" w:cs="仿宋_GB2312"/>
          <w:sz w:val="32"/>
          <w:szCs w:val="32"/>
        </w:rPr>
        <w:t xml:space="preserve"> 评审专家组成员须坚守职业道德，保证技术审核工作的严肃性、公正性。弄虚作假者，永久取消其参与新区相关审核的资格，公布、通报其行为，并依法追究法律责任。</w:t>
      </w:r>
    </w:p>
    <w:p>
      <w:pPr>
        <w:pStyle w:val="4"/>
        <w:keepLines w:val="0"/>
        <w:pageBreakBefore w:val="0"/>
        <w:kinsoku/>
        <w:wordWrap/>
        <w:overflowPunct/>
        <w:topLinePunct w:val="0"/>
        <w:autoSpaceDN/>
        <w:bidi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第二十三条</w:t>
      </w:r>
      <w:r>
        <w:rPr>
          <w:rFonts w:hint="eastAsia" w:ascii="仿宋_GB2312" w:hAnsi="仿宋_GB2312" w:eastAsia="仿宋_GB2312" w:cs="仿宋_GB2312"/>
          <w:sz w:val="32"/>
          <w:szCs w:val="32"/>
        </w:rPr>
        <w:t xml:space="preserve"> 光明新区经济发展专项资金管理工作人员违反本实施细则，未认真履行职责，在管理和监督工作中滥用职权、玩忽职守、徇私舞弊的，由光明新区财政、监察等部门按照《财政违法行为处罚处分条例》、《行政机关公务员处分条例》的规定对责任人进行处罚、处分；构成犯罪的，依法移交司法机关处理。</w:t>
      </w:r>
    </w:p>
    <w:p>
      <w:pPr>
        <w:keepNext/>
        <w:keepLines w:val="0"/>
        <w:pageBreakBefore w:val="0"/>
        <w:numPr>
          <w:ilvl w:val="0"/>
          <w:numId w:val="1"/>
        </w:numPr>
        <w:kinsoku/>
        <w:wordWrap/>
        <w:overflowPunct/>
        <w:topLinePunct w:val="0"/>
        <w:autoSpaceDN/>
        <w:bidi w:val="0"/>
        <w:spacing w:line="560" w:lineRule="exact"/>
        <w:contextualSpacing/>
        <w:jc w:val="center"/>
        <w:textAlignment w:val="auto"/>
        <w:outlineLvl w:val="0"/>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第六章  附则</w:t>
      </w:r>
    </w:p>
    <w:p>
      <w:pPr>
        <w:pStyle w:val="4"/>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sz w:val="32"/>
          <w:szCs w:val="32"/>
        </w:rPr>
        <w:t xml:space="preserve"> 本细则由光明新区产业主管部门负责解释。</w:t>
      </w:r>
    </w:p>
    <w:p>
      <w:pPr>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第二十五条</w:t>
      </w:r>
      <w:r>
        <w:rPr>
          <w:rFonts w:hint="eastAsia" w:ascii="仿宋_GB2312" w:hAnsi="仿宋_GB2312" w:eastAsia="仿宋_GB2312" w:cs="仿宋_GB2312"/>
          <w:sz w:val="32"/>
          <w:szCs w:val="32"/>
        </w:rPr>
        <w:t xml:space="preserve"> 本细则自发布之日起实施，有效期5年。《深圳市光明新区管理委员会关于印发&lt;深圳市光明新区经济发展专项资金管理办法及配套实施细则&gt;的通知》（深光规〔2016〕4号）同时废止。</w:t>
      </w:r>
    </w:p>
    <w:p>
      <w:pPr>
        <w:keepLines w:val="0"/>
        <w:pageBreakBefore w:val="0"/>
        <w:kinsoku/>
        <w:wordWrap/>
        <w:overflowPunct/>
        <w:topLinePunct w:val="0"/>
        <w:autoSpaceDN/>
        <w:bidi w:val="0"/>
        <w:spacing w:line="56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916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2"/>
    <w:basedOn w:val="1"/>
    <w:unhideWhenUsed/>
    <w:qFormat/>
    <w:uiPriority w:val="99"/>
    <w:pPr>
      <w:keepNext/>
      <w:contextualSpacing/>
      <w:outlineLvl w:val="0"/>
    </w:pPr>
    <w:rPr>
      <w:rFonts w:ascii="宋体"/>
    </w:rPr>
  </w:style>
  <w:style w:type="paragraph" w:customStyle="1" w:styleId="5">
    <w:name w:val="_Style 1"/>
    <w:basedOn w:val="1"/>
    <w:unhideWhenUsed/>
    <w:qFormat/>
    <w:uiPriority w:val="99"/>
    <w:pPr>
      <w:keepNext/>
      <w:contextualSpacing/>
      <w:outlineLvl w:val="0"/>
    </w:pPr>
    <w:rPr>
      <w:rFonts w:asci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朱晓玲</cp:lastModifiedBy>
  <dcterms:modified xsi:type="dcterms:W3CDTF">2019-11-04T08:15:07Z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