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60" w:lineRule="exact"/>
        <w:rPr>
          <w:rFonts w:ascii="黑体" w:eastAsia="黑体"/>
          <w:color w:val="000000"/>
          <w:sz w:val="32"/>
          <w:szCs w:val="32"/>
        </w:rPr>
      </w:pPr>
      <w:bookmarkStart w:id="0" w:name="_GoBack"/>
      <w:bookmarkEnd w:id="0"/>
    </w:p>
    <w:p>
      <w:pPr>
        <w:spacing w:beforeLines="0" w:afterLines="0" w:line="560" w:lineRule="exact"/>
        <w:jc w:val="center"/>
        <w:rPr>
          <w:rFonts w:ascii="黑体" w:eastAsia="黑体"/>
          <w:color w:val="000000"/>
          <w:sz w:val="32"/>
          <w:szCs w:val="32"/>
        </w:rPr>
      </w:pPr>
      <w:r>
        <w:rPr>
          <w:rFonts w:hint="eastAsia" w:ascii="黑体" w:eastAsia="黑体"/>
          <w:color w:val="000000"/>
          <w:sz w:val="32"/>
          <w:szCs w:val="32"/>
        </w:rPr>
        <w:t>南山区自主创新产业发展专项资金—经济发展分项资金</w:t>
      </w:r>
    </w:p>
    <w:p>
      <w:pPr>
        <w:spacing w:beforeLines="0" w:afterLines="0" w:line="560" w:lineRule="exact"/>
        <w:jc w:val="center"/>
        <w:rPr>
          <w:rFonts w:ascii="黑体" w:eastAsia="黑体"/>
          <w:color w:val="000000"/>
          <w:sz w:val="32"/>
          <w:szCs w:val="32"/>
        </w:rPr>
      </w:pPr>
      <w:r>
        <w:rPr>
          <w:rFonts w:hint="eastAsia" w:ascii="黑体" w:eastAsia="黑体"/>
          <w:color w:val="000000"/>
          <w:sz w:val="32"/>
          <w:szCs w:val="32"/>
        </w:rPr>
        <w:t>上市公司办公用房扶持项目操作规程（2020年度）</w:t>
      </w:r>
    </w:p>
    <w:p>
      <w:pPr>
        <w:spacing w:beforeLines="0" w:afterLines="0" w:line="560" w:lineRule="exact"/>
        <w:rPr>
          <w:rFonts w:ascii="宋体" w:hAnsi="宋体"/>
          <w:color w:val="000000"/>
          <w:sz w:val="32"/>
          <w:szCs w:val="32"/>
        </w:rPr>
      </w:pPr>
    </w:p>
    <w:p>
      <w:pPr>
        <w:adjustRightInd w:val="0"/>
        <w:snapToGrid w:val="0"/>
        <w:spacing w:beforeLines="0" w:afterLines="0"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为加快转变经济发展方式，推动产业结构优化升级，根据《南山区自主创新产业发展专项资金管理办法》及《南山区自主创新产业发展专项资金-经济发展分项资金实施细则》，制定本操作规程。</w:t>
      </w:r>
    </w:p>
    <w:p>
      <w:pPr>
        <w:pStyle w:val="20"/>
        <w:widowControl/>
        <w:numPr>
          <w:ilvl w:val="0"/>
          <w:numId w:val="1"/>
        </w:numPr>
        <w:adjustRightInd w:val="0"/>
        <w:snapToGrid w:val="0"/>
        <w:spacing w:beforeLines="0" w:afterLines="0" w:line="560" w:lineRule="exact"/>
        <w:ind w:left="0" w:firstLine="640"/>
        <w:rPr>
          <w:rFonts w:ascii="黑体" w:hAnsi="黑体" w:eastAsia="黑体"/>
          <w:b w:val="0"/>
          <w:color w:val="000000"/>
          <w:sz w:val="32"/>
          <w:szCs w:val="32"/>
        </w:rPr>
      </w:pPr>
      <w:r>
        <w:rPr>
          <w:rFonts w:hint="eastAsia" w:ascii="黑体" w:hAnsi="黑体" w:eastAsia="黑体"/>
          <w:b w:val="0"/>
          <w:color w:val="000000"/>
          <w:sz w:val="32"/>
          <w:szCs w:val="32"/>
        </w:rPr>
        <w:t>政策内容</w:t>
      </w:r>
    </w:p>
    <w:p>
      <w:pPr>
        <w:pStyle w:val="20"/>
        <w:adjustRightInd w:val="0"/>
        <w:snapToGrid w:val="0"/>
        <w:spacing w:beforeLines="0" w:afterLines="0" w:line="560" w:lineRule="exact"/>
        <w:ind w:firstLine="640"/>
        <w:rPr>
          <w:rFonts w:ascii="仿宋_GB2312" w:eastAsia="仿宋_GB2312" w:cs="宋体"/>
          <w:sz w:val="32"/>
          <w:szCs w:val="32"/>
        </w:rPr>
      </w:pPr>
      <w:r>
        <w:rPr>
          <w:rFonts w:hint="eastAsia" w:ascii="仿宋_GB2312" w:eastAsia="仿宋_GB2312" w:cs="宋体"/>
          <w:sz w:val="32"/>
          <w:szCs w:val="32"/>
        </w:rPr>
        <w:t>上市公司于2016年1月1日后在南山区新购置或租赁自用办公用房（不含附属和配套用房</w:t>
      </w:r>
      <w:r>
        <w:rPr>
          <w:rFonts w:hint="eastAsia" w:ascii="仿宋_GB2312" w:eastAsia="仿宋_GB2312" w:cs="黑体"/>
          <w:kern w:val="0"/>
          <w:sz w:val="32"/>
          <w:szCs w:val="32"/>
        </w:rPr>
        <w:t>以及南山区政策性产业用房</w:t>
      </w:r>
      <w:r>
        <w:rPr>
          <w:rFonts w:hint="eastAsia" w:ascii="仿宋_GB2312" w:eastAsia="仿宋_GB2312" w:cs="宋体"/>
          <w:sz w:val="32"/>
          <w:szCs w:val="32"/>
        </w:rPr>
        <w:t>）的，可申请相应资助。</w:t>
      </w:r>
    </w:p>
    <w:p>
      <w:pPr>
        <w:widowControl/>
        <w:adjustRightInd w:val="0"/>
        <w:snapToGrid w:val="0"/>
        <w:spacing w:beforeLines="0" w:afterLines="0" w:line="560" w:lineRule="exact"/>
        <w:ind w:firstLine="640" w:firstLineChars="200"/>
        <w:rPr>
          <w:rFonts w:ascii="黑体" w:hAnsi="黑体" w:eastAsia="黑体"/>
          <w:b w:val="0"/>
          <w:sz w:val="32"/>
          <w:szCs w:val="32"/>
        </w:rPr>
      </w:pPr>
      <w:r>
        <w:rPr>
          <w:rFonts w:hint="eastAsia" w:ascii="黑体" w:hAnsi="黑体" w:eastAsia="黑体"/>
          <w:b w:val="0"/>
          <w:sz w:val="32"/>
          <w:szCs w:val="32"/>
        </w:rPr>
        <w:t>二、资助方式</w:t>
      </w:r>
    </w:p>
    <w:p>
      <w:pPr>
        <w:adjustRightInd w:val="0"/>
        <w:snapToGrid w:val="0"/>
        <w:spacing w:beforeLines="0" w:afterLines="0" w:line="560" w:lineRule="exact"/>
        <w:ind w:firstLine="640" w:firstLineChars="200"/>
        <w:rPr>
          <w:rFonts w:ascii="仿宋_GB2312" w:eastAsia="仿宋_GB2312"/>
          <w:sz w:val="32"/>
          <w:szCs w:val="32"/>
        </w:rPr>
      </w:pPr>
      <w:r>
        <w:rPr>
          <w:rFonts w:hint="eastAsia" w:ascii="仿宋_GB2312" w:eastAsia="仿宋_GB2312"/>
          <w:sz w:val="32"/>
          <w:szCs w:val="32"/>
        </w:rPr>
        <w:t>本项资助属于核准类项目，资助资金的安排使用坚持公平、公开、公正的原则，实行自愿申报、科学决策和绩效评估的管理制度，采取无偿资助方式和事后补贴制，受资助项目无需验收。</w:t>
      </w:r>
    </w:p>
    <w:p>
      <w:pPr>
        <w:widowControl/>
        <w:adjustRightInd w:val="0"/>
        <w:snapToGrid w:val="0"/>
        <w:spacing w:beforeLines="0" w:afterLines="0" w:line="560" w:lineRule="exact"/>
        <w:ind w:firstLine="640" w:firstLineChars="200"/>
        <w:rPr>
          <w:rFonts w:ascii="黑体" w:hAnsi="黑体" w:eastAsia="黑体"/>
          <w:b w:val="0"/>
          <w:sz w:val="32"/>
          <w:szCs w:val="32"/>
        </w:rPr>
      </w:pPr>
      <w:r>
        <w:rPr>
          <w:rFonts w:hint="eastAsia" w:ascii="黑体" w:hAnsi="黑体" w:eastAsia="黑体"/>
          <w:b w:val="0"/>
          <w:sz w:val="32"/>
          <w:szCs w:val="32"/>
        </w:rPr>
        <w:t>三、资助标准</w:t>
      </w:r>
    </w:p>
    <w:p>
      <w:pPr>
        <w:adjustRightInd w:val="0"/>
        <w:snapToGrid w:val="0"/>
        <w:spacing w:beforeLines="0" w:afterLines="0" w:line="560" w:lineRule="exact"/>
        <w:ind w:firstLine="640" w:firstLineChars="200"/>
        <w:rPr>
          <w:rFonts w:ascii="仿宋_GB2312" w:eastAsia="仿宋_GB2312" w:cs="宋体"/>
          <w:sz w:val="32"/>
          <w:szCs w:val="32"/>
        </w:rPr>
      </w:pPr>
      <w:r>
        <w:rPr>
          <w:rFonts w:hint="eastAsia" w:ascii="仿宋_GB2312" w:eastAsia="仿宋_GB2312"/>
          <w:sz w:val="32"/>
          <w:szCs w:val="32"/>
        </w:rPr>
        <w:t>（一）购置办</w:t>
      </w:r>
      <w:r>
        <w:rPr>
          <w:rFonts w:hint="eastAsia" w:ascii="仿宋_GB2312" w:eastAsia="仿宋_GB2312" w:cs="宋体"/>
          <w:sz w:val="32"/>
          <w:szCs w:val="32"/>
        </w:rPr>
        <w:t>公用房</w:t>
      </w:r>
    </w:p>
    <w:p>
      <w:pPr>
        <w:adjustRightInd w:val="0"/>
        <w:snapToGrid w:val="0"/>
        <w:spacing w:beforeLines="0" w:afterLines="0" w:line="560" w:lineRule="exact"/>
        <w:ind w:firstLine="640" w:firstLineChars="200"/>
        <w:rPr>
          <w:rFonts w:ascii="仿宋_GB2312" w:eastAsia="仿宋_GB2312" w:cs="宋体"/>
          <w:sz w:val="32"/>
          <w:szCs w:val="32"/>
        </w:rPr>
      </w:pPr>
      <w:r>
        <w:rPr>
          <w:rFonts w:hint="eastAsia" w:ascii="仿宋_GB2312" w:eastAsia="仿宋_GB2312" w:cs="宋体"/>
          <w:sz w:val="32"/>
          <w:szCs w:val="32"/>
        </w:rPr>
        <w:t>上市公司于2016年1月1日后在南山区新购置自用办公用房（同一栋建筑物，不含附属和配套用房及南山区政策性产业用房；已获购房资助的企业，再次购置自用办公用房的不纳入资助范围），按最高3000元/</w:t>
      </w:r>
      <w:r>
        <w:rPr>
          <w:rFonts w:hint="eastAsia" w:ascii="仿宋_GB2312" w:cs="宋体"/>
          <w:sz w:val="32"/>
          <w:szCs w:val="32"/>
        </w:rPr>
        <w:t>㎡</w:t>
      </w:r>
      <w:r>
        <w:rPr>
          <w:rFonts w:hint="eastAsia" w:ascii="仿宋_GB2312" w:eastAsia="仿宋_GB2312" w:cs="宋体"/>
          <w:sz w:val="32"/>
          <w:szCs w:val="32"/>
        </w:rPr>
        <w:t>的标准分三年给予资助，总额最高2000万（首次申报资助时核算资助总额，分三年发放，第一年发放资助总额的40%，第二、第三年各发放资助总额的30%）。其中：</w:t>
      </w:r>
    </w:p>
    <w:p>
      <w:pPr>
        <w:adjustRightInd w:val="0"/>
        <w:snapToGrid w:val="0"/>
        <w:spacing w:beforeLines="0" w:afterLines="0" w:line="560" w:lineRule="exact"/>
        <w:ind w:firstLine="640" w:firstLineChars="200"/>
        <w:rPr>
          <w:rFonts w:ascii="仿宋_GB2312" w:eastAsia="仿宋_GB2312"/>
          <w:sz w:val="32"/>
          <w:szCs w:val="32"/>
        </w:rPr>
      </w:pPr>
      <w:r>
        <w:rPr>
          <w:rFonts w:hint="eastAsia" w:ascii="仿宋_GB2312" w:eastAsia="仿宋_GB2312" w:cs="宋体"/>
          <w:sz w:val="32"/>
          <w:szCs w:val="32"/>
        </w:rPr>
        <w:t>上一年度在南山区纳税5000万元以</w:t>
      </w:r>
      <w:r>
        <w:rPr>
          <w:rFonts w:hint="eastAsia" w:ascii="仿宋_GB2312" w:eastAsia="仿宋_GB2312"/>
          <w:sz w:val="32"/>
          <w:szCs w:val="32"/>
        </w:rPr>
        <w:t>上的，资助标准为3000元/</w:t>
      </w:r>
      <w:r>
        <w:rPr>
          <w:rFonts w:hint="eastAsia" w:ascii="仿宋_GB2312"/>
          <w:sz w:val="32"/>
          <w:szCs w:val="32"/>
        </w:rPr>
        <w:t>㎡</w:t>
      </w:r>
      <w:r>
        <w:rPr>
          <w:rFonts w:hint="eastAsia" w:ascii="仿宋_GB2312" w:eastAsia="仿宋_GB2312"/>
          <w:sz w:val="32"/>
          <w:szCs w:val="32"/>
        </w:rPr>
        <w:t>且不超过房屋均价的10%；</w:t>
      </w:r>
    </w:p>
    <w:p>
      <w:pPr>
        <w:adjustRightInd w:val="0"/>
        <w:snapToGrid w:val="0"/>
        <w:spacing w:beforeLines="0" w:afterLines="0" w:line="560" w:lineRule="exact"/>
        <w:ind w:firstLine="640" w:firstLineChars="200"/>
        <w:rPr>
          <w:rFonts w:ascii="仿宋_GB2312" w:eastAsia="仿宋_GB2312"/>
          <w:sz w:val="32"/>
          <w:szCs w:val="32"/>
        </w:rPr>
      </w:pPr>
      <w:r>
        <w:rPr>
          <w:rFonts w:hint="eastAsia" w:ascii="仿宋_GB2312" w:eastAsia="仿宋_GB2312" w:cs="宋体"/>
          <w:sz w:val="32"/>
          <w:szCs w:val="32"/>
        </w:rPr>
        <w:t>上一年度在南山区纳税3000万元以</w:t>
      </w:r>
      <w:r>
        <w:rPr>
          <w:rFonts w:hint="eastAsia" w:ascii="仿宋_GB2312" w:eastAsia="仿宋_GB2312"/>
          <w:sz w:val="32"/>
          <w:szCs w:val="32"/>
        </w:rPr>
        <w:t>上的，资助标准为2000元/</w:t>
      </w:r>
      <w:r>
        <w:rPr>
          <w:rFonts w:hint="eastAsia" w:ascii="仿宋_GB2312"/>
          <w:sz w:val="32"/>
          <w:szCs w:val="32"/>
        </w:rPr>
        <w:t>㎡</w:t>
      </w:r>
      <w:r>
        <w:rPr>
          <w:rFonts w:hint="eastAsia" w:ascii="仿宋_GB2312" w:eastAsia="仿宋_GB2312"/>
          <w:sz w:val="32"/>
          <w:szCs w:val="32"/>
        </w:rPr>
        <w:t>且不超过房屋均价的10%；</w:t>
      </w:r>
    </w:p>
    <w:p>
      <w:pPr>
        <w:adjustRightInd w:val="0"/>
        <w:snapToGrid w:val="0"/>
        <w:spacing w:beforeLines="0" w:afterLines="0" w:line="560" w:lineRule="exact"/>
        <w:ind w:firstLine="640" w:firstLineChars="200"/>
        <w:rPr>
          <w:rFonts w:ascii="仿宋_GB2312" w:eastAsia="仿宋_GB2312" w:cs="宋体"/>
          <w:sz w:val="32"/>
          <w:szCs w:val="32"/>
        </w:rPr>
      </w:pPr>
      <w:r>
        <w:rPr>
          <w:rFonts w:hint="eastAsia" w:ascii="仿宋_GB2312" w:eastAsia="仿宋_GB2312"/>
          <w:sz w:val="32"/>
          <w:szCs w:val="32"/>
        </w:rPr>
        <w:t>其他情况资助标准为</w:t>
      </w:r>
      <w:r>
        <w:rPr>
          <w:rFonts w:hint="eastAsia" w:ascii="仿宋_GB2312" w:eastAsia="仿宋_GB2312" w:cs="宋体"/>
          <w:sz w:val="32"/>
          <w:szCs w:val="32"/>
        </w:rPr>
        <w:t>1500元/</w:t>
      </w:r>
      <w:r>
        <w:rPr>
          <w:rFonts w:hint="eastAsia" w:ascii="仿宋_GB2312" w:cs="宋体"/>
          <w:sz w:val="32"/>
          <w:szCs w:val="32"/>
        </w:rPr>
        <w:t>㎡</w:t>
      </w:r>
      <w:r>
        <w:rPr>
          <w:rFonts w:hint="eastAsia" w:ascii="仿宋_GB2312" w:eastAsia="仿宋_GB2312" w:cs="宋体"/>
          <w:sz w:val="32"/>
          <w:szCs w:val="32"/>
        </w:rPr>
        <w:t>且不超过房屋均价的10%。</w:t>
      </w:r>
    </w:p>
    <w:p>
      <w:pPr>
        <w:adjustRightInd w:val="0"/>
        <w:snapToGrid w:val="0"/>
        <w:spacing w:beforeLines="0" w:afterLines="0" w:line="560" w:lineRule="exact"/>
        <w:ind w:firstLine="640" w:firstLineChars="200"/>
        <w:rPr>
          <w:rFonts w:ascii="仿宋_GB2312" w:eastAsia="仿宋_GB2312" w:cs="宋体"/>
          <w:sz w:val="32"/>
          <w:szCs w:val="32"/>
        </w:rPr>
      </w:pPr>
      <w:r>
        <w:rPr>
          <w:rFonts w:hint="eastAsia" w:ascii="仿宋_GB2312" w:eastAsia="仿宋_GB2312" w:cs="宋体"/>
          <w:sz w:val="32"/>
          <w:szCs w:val="32"/>
        </w:rPr>
        <w:t>（二）租赁办公用房</w:t>
      </w:r>
    </w:p>
    <w:p>
      <w:pPr>
        <w:adjustRightInd w:val="0"/>
        <w:snapToGrid w:val="0"/>
        <w:spacing w:beforeLines="0" w:afterLines="0" w:line="560" w:lineRule="exact"/>
        <w:ind w:firstLine="640" w:firstLineChars="200"/>
        <w:rPr>
          <w:rFonts w:ascii="仿宋_GB2312" w:eastAsia="仿宋_GB2312" w:cs="宋体"/>
          <w:sz w:val="32"/>
          <w:szCs w:val="32"/>
        </w:rPr>
      </w:pPr>
      <w:r>
        <w:rPr>
          <w:rFonts w:hint="eastAsia" w:ascii="仿宋_GB2312" w:eastAsia="仿宋_GB2312" w:cs="宋体"/>
          <w:sz w:val="32"/>
          <w:szCs w:val="32"/>
        </w:rPr>
        <w:t>上市公司于2016年1月1日后在南山区新租赁、同一合同且租赁面积达1000平方米以上的自用办公用房（不含附属和配套用房及南山区政策性产业用房），合同期在1年及以上的，5年内可给予与租房补贴，其中前3年每年可按</w:t>
      </w:r>
      <w:r>
        <w:rPr>
          <w:rFonts w:hint="eastAsia" w:ascii="仿宋_GB2312" w:eastAsia="仿宋_GB2312" w:cs="黑体"/>
          <w:kern w:val="0"/>
          <w:sz w:val="32"/>
          <w:szCs w:val="32"/>
        </w:rPr>
        <w:t>实际支付租金</w:t>
      </w:r>
      <w:r>
        <w:rPr>
          <w:rFonts w:hint="eastAsia" w:ascii="仿宋_GB2312" w:eastAsia="仿宋_GB2312" w:cs="宋体"/>
          <w:sz w:val="32"/>
          <w:szCs w:val="32"/>
        </w:rPr>
        <w:t>的30%给予最高300万元的资助；后2年每年按</w:t>
      </w:r>
      <w:r>
        <w:rPr>
          <w:rFonts w:hint="eastAsia" w:ascii="仿宋_GB2312" w:eastAsia="仿宋_GB2312" w:cs="黑体"/>
          <w:kern w:val="0"/>
          <w:sz w:val="32"/>
          <w:szCs w:val="32"/>
        </w:rPr>
        <w:t>实际支付租金</w:t>
      </w:r>
      <w:r>
        <w:rPr>
          <w:rFonts w:hint="eastAsia" w:ascii="仿宋_GB2312" w:eastAsia="仿宋_GB2312" w:cs="宋体"/>
          <w:sz w:val="32"/>
          <w:szCs w:val="32"/>
        </w:rPr>
        <w:t>的15%给予补贴，每年最高150万。其中：</w:t>
      </w:r>
    </w:p>
    <w:p>
      <w:pPr>
        <w:adjustRightInd w:val="0"/>
        <w:snapToGrid w:val="0"/>
        <w:spacing w:beforeLines="0" w:afterLines="0" w:line="560" w:lineRule="exact"/>
        <w:ind w:firstLine="640" w:firstLineChars="200"/>
        <w:rPr>
          <w:rFonts w:ascii="仿宋_GB2312" w:eastAsia="仿宋_GB2312" w:cs="宋体"/>
          <w:sz w:val="32"/>
          <w:szCs w:val="32"/>
        </w:rPr>
      </w:pPr>
      <w:r>
        <w:rPr>
          <w:rFonts w:hint="eastAsia" w:ascii="仿宋_GB2312" w:eastAsia="仿宋_GB2312" w:cs="宋体"/>
          <w:sz w:val="32"/>
          <w:szCs w:val="32"/>
        </w:rPr>
        <w:t>上年度在南山区纳税超5000万元的企业，资助标准按前3年每年最高300万元，后2年每年最高150万元进行补贴。</w:t>
      </w:r>
    </w:p>
    <w:p>
      <w:pPr>
        <w:adjustRightInd w:val="0"/>
        <w:snapToGrid w:val="0"/>
        <w:spacing w:beforeLines="0" w:afterLines="0" w:line="560" w:lineRule="exact"/>
        <w:ind w:firstLine="640" w:firstLineChars="200"/>
        <w:rPr>
          <w:rFonts w:ascii="仿宋_GB2312" w:eastAsia="仿宋_GB2312" w:cs="宋体"/>
          <w:sz w:val="32"/>
          <w:szCs w:val="32"/>
        </w:rPr>
      </w:pPr>
      <w:r>
        <w:rPr>
          <w:rFonts w:hint="eastAsia" w:ascii="仿宋_GB2312" w:eastAsia="仿宋_GB2312" w:cs="宋体"/>
          <w:sz w:val="32"/>
          <w:szCs w:val="32"/>
        </w:rPr>
        <w:t>上年度在南山区纳税超1000万不足5000万元的企业，资助标准按前3年每年最高200万，后2年每年最高100万元进行补贴。</w:t>
      </w:r>
    </w:p>
    <w:p>
      <w:pPr>
        <w:adjustRightInd w:val="0"/>
        <w:snapToGrid w:val="0"/>
        <w:spacing w:beforeLines="0" w:afterLines="0" w:line="560" w:lineRule="exact"/>
        <w:ind w:firstLine="640" w:firstLineChars="200"/>
        <w:rPr>
          <w:rFonts w:ascii="仿宋_GB2312" w:eastAsia="仿宋_GB2312" w:cs="宋体"/>
          <w:sz w:val="32"/>
          <w:szCs w:val="32"/>
        </w:rPr>
      </w:pPr>
      <w:r>
        <w:rPr>
          <w:rFonts w:hint="eastAsia" w:ascii="仿宋_GB2312" w:eastAsia="仿宋_GB2312" w:cs="宋体"/>
          <w:sz w:val="32"/>
          <w:szCs w:val="32"/>
        </w:rPr>
        <w:t>上年度在南山区纳税不足1000万元的企业，资助标准按前3年每年最高100万，后2年每年最高50万元进行补贴。</w:t>
      </w:r>
    </w:p>
    <w:p>
      <w:pPr>
        <w:adjustRightInd w:val="0"/>
        <w:snapToGrid w:val="0"/>
        <w:spacing w:beforeLines="0" w:afterLines="0" w:line="560" w:lineRule="exact"/>
        <w:ind w:firstLine="640" w:firstLineChars="200"/>
        <w:rPr>
          <w:rFonts w:ascii="仿宋_GB2312" w:eastAsia="仿宋_GB2312"/>
          <w:sz w:val="32"/>
          <w:szCs w:val="32"/>
        </w:rPr>
      </w:pPr>
      <w:r>
        <w:rPr>
          <w:rFonts w:hint="eastAsia" w:ascii="仿宋_GB2312" w:eastAsia="仿宋_GB2312" w:cs="宋体"/>
          <w:sz w:val="32"/>
          <w:szCs w:val="32"/>
        </w:rPr>
        <w:t>（三）</w:t>
      </w:r>
      <w:r>
        <w:rPr>
          <w:rFonts w:hint="eastAsia" w:ascii="仿宋_GB2312" w:eastAsia="仿宋_GB2312"/>
          <w:sz w:val="32"/>
          <w:szCs w:val="32"/>
        </w:rPr>
        <w:t>每一企业原则上只能享受以上一项扶持政策。</w:t>
      </w:r>
    </w:p>
    <w:p>
      <w:pPr>
        <w:widowControl/>
        <w:adjustRightInd w:val="0"/>
        <w:snapToGrid w:val="0"/>
        <w:spacing w:beforeLines="0" w:afterLines="0" w:line="560" w:lineRule="exact"/>
        <w:ind w:firstLine="640" w:firstLineChars="200"/>
        <w:rPr>
          <w:rFonts w:ascii="黑体" w:hAnsi="黑体" w:eastAsia="黑体" w:cs="Times New Roman"/>
          <w:sz w:val="32"/>
          <w:szCs w:val="32"/>
        </w:rPr>
      </w:pPr>
      <w:r>
        <w:rPr>
          <w:rFonts w:hint="eastAsia" w:ascii="仿宋_GB2312" w:hAnsi="仿宋_GB2312" w:eastAsia="仿宋_GB2312"/>
          <w:sz w:val="32"/>
          <w:szCs w:val="32"/>
        </w:rPr>
        <w:t>（四）</w:t>
      </w:r>
      <w:r>
        <w:rPr>
          <w:rFonts w:hint="eastAsia" w:ascii="仿宋_GB2312" w:eastAsia="仿宋_GB2312" w:cs="宋体"/>
          <w:sz w:val="32"/>
          <w:szCs w:val="32"/>
        </w:rPr>
        <w:t>本项目受</w:t>
      </w:r>
      <w:r>
        <w:rPr>
          <w:rFonts w:hint="eastAsia" w:ascii="仿宋_GB2312" w:hAnsi="仿宋" w:eastAsia="仿宋_GB2312"/>
          <w:kern w:val="0"/>
          <w:sz w:val="32"/>
          <w:szCs w:val="32"/>
        </w:rPr>
        <w:t>《南山区自主创新产业发展专项资金管理办法》</w:t>
      </w:r>
      <w:r>
        <w:rPr>
          <w:rFonts w:hint="eastAsia" w:ascii="仿宋_GB2312" w:eastAsia="仿宋_GB2312" w:cs="宋体"/>
          <w:sz w:val="32"/>
          <w:szCs w:val="32"/>
        </w:rPr>
        <w:t>第十三条第（四）款“</w:t>
      </w:r>
      <w:r>
        <w:rPr>
          <w:rFonts w:hint="eastAsia" w:ascii="仿宋_GB2312" w:hAnsi="仿宋_GB2312" w:eastAsia="仿宋_GB2312"/>
          <w:sz w:val="32"/>
          <w:szCs w:val="32"/>
        </w:rPr>
        <w:t>每家单位同一年度获得的资助金额原则上不超过其上一年度形成的区级地方财力贡献限制。</w:t>
      </w:r>
    </w:p>
    <w:p>
      <w:pPr>
        <w:widowControl/>
        <w:adjustRightInd w:val="0"/>
        <w:snapToGrid w:val="0"/>
        <w:spacing w:beforeLines="0" w:afterLines="0" w:line="560" w:lineRule="exact"/>
        <w:ind w:firstLine="640" w:firstLineChars="200"/>
        <w:rPr>
          <w:rFonts w:ascii="黑体" w:hAnsi="黑体" w:eastAsia="黑体"/>
          <w:b w:val="0"/>
          <w:sz w:val="32"/>
          <w:szCs w:val="32"/>
        </w:rPr>
      </w:pPr>
      <w:r>
        <w:rPr>
          <w:rFonts w:hint="eastAsia" w:ascii="黑体" w:hAnsi="黑体" w:eastAsia="黑体"/>
          <w:b w:val="0"/>
          <w:sz w:val="32"/>
          <w:szCs w:val="32"/>
        </w:rPr>
        <w:t>四、申请条件</w:t>
      </w:r>
    </w:p>
    <w:p>
      <w:pPr>
        <w:adjustRightInd w:val="0"/>
        <w:snapToGrid w:val="0"/>
        <w:spacing w:beforeLines="0" w:afterLines="0" w:line="560" w:lineRule="exact"/>
        <w:ind w:firstLine="640" w:firstLineChars="200"/>
        <w:rPr>
          <w:rFonts w:ascii="仿宋_GB2312" w:eastAsia="仿宋_GB2312"/>
          <w:sz w:val="32"/>
          <w:szCs w:val="32"/>
        </w:rPr>
      </w:pPr>
      <w:r>
        <w:rPr>
          <w:rFonts w:hint="eastAsia" w:ascii="仿宋_GB2312" w:eastAsia="仿宋_GB2312"/>
          <w:sz w:val="32"/>
          <w:szCs w:val="32"/>
        </w:rPr>
        <w:t>（一）申请本项资金资助的企业应符合以下条件：</w:t>
      </w:r>
    </w:p>
    <w:p>
      <w:pPr>
        <w:numPr>
          <w:ilvl w:val="1"/>
          <w:numId w:val="2"/>
        </w:numPr>
        <w:adjustRightInd w:val="0"/>
        <w:snapToGrid w:val="0"/>
        <w:spacing w:beforeLines="0" w:afterLines="0" w:line="560" w:lineRule="exact"/>
        <w:ind w:firstLine="640" w:firstLineChars="200"/>
        <w:rPr>
          <w:rFonts w:ascii="仿宋_GB2312" w:eastAsia="仿宋_GB2312"/>
          <w:sz w:val="32"/>
          <w:szCs w:val="32"/>
        </w:rPr>
      </w:pPr>
      <w:r>
        <w:rPr>
          <w:rFonts w:hint="eastAsia" w:ascii="仿宋_GB2312" w:eastAsia="仿宋_GB2312"/>
          <w:sz w:val="32"/>
          <w:szCs w:val="32"/>
        </w:rPr>
        <w:t>在南山辖区内注册、具有独立法人资格；</w:t>
      </w:r>
    </w:p>
    <w:p>
      <w:pPr>
        <w:numPr>
          <w:ilvl w:val="1"/>
          <w:numId w:val="2"/>
        </w:numPr>
        <w:adjustRightInd w:val="0"/>
        <w:snapToGrid w:val="0"/>
        <w:spacing w:beforeLines="0" w:afterLines="0" w:line="560" w:lineRule="exact"/>
        <w:ind w:firstLine="640" w:firstLineChars="200"/>
        <w:rPr>
          <w:rFonts w:ascii="仿宋_GB2312" w:eastAsia="仿宋_GB2312"/>
          <w:sz w:val="32"/>
          <w:szCs w:val="32"/>
        </w:rPr>
      </w:pPr>
      <w:r>
        <w:rPr>
          <w:rFonts w:hint="eastAsia" w:ascii="仿宋_GB2312" w:eastAsia="仿宋_GB2312"/>
          <w:sz w:val="32"/>
          <w:szCs w:val="32"/>
        </w:rPr>
        <w:t>履行统计数据申报义务、守法经营、诚实守信，有规范健全的财务制度；</w:t>
      </w:r>
    </w:p>
    <w:p>
      <w:pPr>
        <w:numPr>
          <w:ilvl w:val="1"/>
          <w:numId w:val="2"/>
        </w:numPr>
        <w:adjustRightInd w:val="0"/>
        <w:snapToGrid w:val="0"/>
        <w:spacing w:beforeLines="0" w:afterLines="0" w:line="560" w:lineRule="exact"/>
        <w:ind w:firstLine="640" w:firstLineChars="200"/>
        <w:rPr>
          <w:rFonts w:ascii="仿宋_GB2312" w:eastAsia="仿宋_GB2312"/>
          <w:sz w:val="32"/>
          <w:szCs w:val="32"/>
        </w:rPr>
      </w:pPr>
      <w:r>
        <w:rPr>
          <w:rFonts w:hint="eastAsia" w:ascii="仿宋_GB2312" w:hAnsi="仿宋_GB2312" w:eastAsia="仿宋_GB2312"/>
          <w:sz w:val="32"/>
          <w:szCs w:val="32"/>
        </w:rPr>
        <w:t>已在境内主板、中小板、创业板、</w:t>
      </w:r>
      <w:r>
        <w:rPr>
          <w:rFonts w:ascii="仿宋_GB2312" w:hAnsi="仿宋_GB2312" w:eastAsia="仿宋_GB2312"/>
          <w:sz w:val="32"/>
          <w:szCs w:val="32"/>
        </w:rPr>
        <w:t>科创板</w:t>
      </w:r>
      <w:r>
        <w:rPr>
          <w:rFonts w:hint="eastAsia" w:ascii="仿宋_GB2312" w:hAnsi="仿宋_GB2312" w:eastAsia="仿宋_GB2312"/>
          <w:sz w:val="32"/>
          <w:szCs w:val="32"/>
        </w:rPr>
        <w:t>上市或在海外主要资本市场主板和创业板上市并已经区上市办认定；</w:t>
      </w:r>
    </w:p>
    <w:p>
      <w:pPr>
        <w:numPr>
          <w:ilvl w:val="1"/>
          <w:numId w:val="2"/>
        </w:numPr>
        <w:adjustRightInd w:val="0"/>
        <w:snapToGrid w:val="0"/>
        <w:spacing w:beforeLines="0" w:afterLines="0" w:line="560" w:lineRule="exact"/>
        <w:ind w:firstLine="640" w:firstLineChars="200"/>
        <w:rPr>
          <w:rFonts w:ascii="仿宋_GB2312" w:eastAsia="仿宋_GB2312"/>
          <w:sz w:val="32"/>
          <w:szCs w:val="32"/>
        </w:rPr>
      </w:pPr>
      <w:r>
        <w:rPr>
          <w:rFonts w:hint="eastAsia" w:ascii="仿宋_GB2312" w:eastAsia="仿宋_GB2312"/>
          <w:sz w:val="32"/>
          <w:szCs w:val="32"/>
        </w:rPr>
        <w:t>2017年来未购买南山区政府政策性产业办公用房</w:t>
      </w:r>
      <w:r>
        <w:rPr>
          <w:rFonts w:hint="eastAsia" w:ascii="仿宋_GB2312" w:eastAsia="仿宋_GB2312"/>
          <w:sz w:val="32"/>
          <w:szCs w:val="32"/>
          <w:lang w:eastAsia="zh-CN"/>
        </w:rPr>
        <w:t>；</w:t>
      </w:r>
    </w:p>
    <w:p>
      <w:pPr>
        <w:numPr>
          <w:ilvl w:val="1"/>
          <w:numId w:val="2"/>
        </w:numPr>
        <w:adjustRightInd w:val="0"/>
        <w:snapToGrid w:val="0"/>
        <w:spacing w:beforeLines="0" w:afterLines="0" w:line="560" w:lineRule="exact"/>
        <w:ind w:firstLine="640" w:firstLineChars="200"/>
        <w:rPr>
          <w:rFonts w:ascii="仿宋_GB2312" w:eastAsia="仿宋_GB2312"/>
          <w:sz w:val="32"/>
          <w:szCs w:val="32"/>
        </w:rPr>
      </w:pPr>
      <w:r>
        <w:rPr>
          <w:rFonts w:hint="eastAsia" w:ascii="仿宋_GB2312" w:eastAsia="仿宋_GB2312"/>
          <w:color w:val="000000"/>
          <w:sz w:val="32"/>
          <w:szCs w:val="32"/>
          <w:lang w:val="en-US" w:eastAsia="zh-CN"/>
        </w:rPr>
        <w:t>应积极配合区委、区政府相关工作。</w:t>
      </w:r>
    </w:p>
    <w:p>
      <w:pPr>
        <w:adjustRightInd w:val="0"/>
        <w:snapToGrid w:val="0"/>
        <w:spacing w:beforeLines="0" w:afterLines="0" w:line="560" w:lineRule="exact"/>
        <w:ind w:firstLine="640" w:firstLineChars="200"/>
        <w:rPr>
          <w:rFonts w:ascii="仿宋_GB2312" w:eastAsia="仿宋_GB2312"/>
          <w:sz w:val="32"/>
          <w:szCs w:val="32"/>
        </w:rPr>
      </w:pPr>
      <w:r>
        <w:rPr>
          <w:rFonts w:hint="eastAsia" w:ascii="仿宋_GB2312" w:eastAsia="仿宋_GB2312"/>
          <w:sz w:val="32"/>
          <w:szCs w:val="32"/>
        </w:rPr>
        <w:t>（二）有下列情况之一的，本资金不予资助：</w:t>
      </w:r>
    </w:p>
    <w:p>
      <w:pPr>
        <w:adjustRightInd w:val="0"/>
        <w:snapToGrid w:val="0"/>
        <w:spacing w:beforeLines="0" w:afterLines="0" w:line="560" w:lineRule="exact"/>
        <w:ind w:firstLine="640" w:firstLineChars="200"/>
        <w:rPr>
          <w:rFonts w:ascii="仿宋_GB2312" w:eastAsia="仿宋_GB2312"/>
          <w:sz w:val="32"/>
          <w:szCs w:val="32"/>
        </w:rPr>
      </w:pPr>
      <w:r>
        <w:rPr>
          <w:rFonts w:hint="eastAsia" w:ascii="仿宋_GB2312" w:eastAsia="仿宋_GB2312"/>
          <w:sz w:val="32"/>
          <w:szCs w:val="32"/>
        </w:rPr>
        <w:t>1、已获“</w:t>
      </w:r>
      <w:r>
        <w:rPr>
          <w:rFonts w:hint="eastAsia" w:ascii="仿宋_GB2312" w:hAnsi="Times New Roman" w:eastAsia="仿宋_GB2312" w:cs="Times New Roman"/>
          <w:color w:val="auto"/>
          <w:sz w:val="32"/>
          <w:szCs w:val="32"/>
        </w:rPr>
        <w:t>总部企业办公用房扶持项目</w:t>
      </w:r>
      <w:r>
        <w:rPr>
          <w:rFonts w:hint="eastAsia" w:ascii="仿宋_GB2312" w:eastAsia="仿宋_GB2312"/>
          <w:sz w:val="32"/>
          <w:szCs w:val="32"/>
        </w:rPr>
        <w:t>”、“</w:t>
      </w:r>
      <w:r>
        <w:rPr>
          <w:rFonts w:hint="eastAsia" w:ascii="仿宋_GB2312" w:hAnsi="仿宋_GB2312" w:eastAsia="仿宋_GB2312"/>
          <w:sz w:val="32"/>
          <w:szCs w:val="32"/>
        </w:rPr>
        <w:t>金融机构办公用房扶持”</w:t>
      </w:r>
      <w:r>
        <w:rPr>
          <w:rFonts w:hint="eastAsia" w:ascii="仿宋_GB2312" w:eastAsia="仿宋_GB2312"/>
          <w:sz w:val="32"/>
          <w:szCs w:val="32"/>
        </w:rPr>
        <w:t>资助的企业，不得申请该扶持项目；</w:t>
      </w:r>
    </w:p>
    <w:p>
      <w:pPr>
        <w:adjustRightInd w:val="0"/>
        <w:snapToGrid w:val="0"/>
        <w:spacing w:beforeLines="0" w:afterLines="0"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2、近三年内在税收、安全生产、环保、劳动等方面存在重大违法行为，受到有关部门行政处罚的；</w:t>
      </w:r>
    </w:p>
    <w:p>
      <w:pPr>
        <w:adjustRightInd w:val="0"/>
        <w:snapToGrid w:val="0"/>
        <w:spacing w:beforeLines="0" w:afterLines="0"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3、申报材料有弄虚作假情况的；</w:t>
      </w:r>
    </w:p>
    <w:p>
      <w:pPr>
        <w:adjustRightInd w:val="0"/>
        <w:snapToGrid w:val="0"/>
        <w:spacing w:beforeLines="0" w:afterLines="0"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4、近三年内申请单位以及单位法人存在违规申报使用政府资金、商业贿赂、不良信用记录等情况的；</w:t>
      </w:r>
    </w:p>
    <w:p>
      <w:pPr>
        <w:adjustRightInd w:val="0"/>
        <w:snapToGrid w:val="0"/>
        <w:spacing w:beforeLines="0" w:afterLines="0"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5、提出资助申请后，将企业注册地搬离南山和未按规定提交统计报表、在产业发展综合服务平台填报相关数据的；</w:t>
      </w:r>
    </w:p>
    <w:p>
      <w:pPr>
        <w:widowControl/>
        <w:adjustRightInd w:val="0"/>
        <w:snapToGrid w:val="0"/>
        <w:spacing w:beforeLines="0" w:afterLines="0" w:line="560" w:lineRule="exact"/>
        <w:ind w:firstLine="640" w:firstLineChars="200"/>
        <w:rPr>
          <w:rFonts w:ascii="黑体" w:hAnsi="黑体" w:eastAsia="黑体"/>
          <w:b w:val="0"/>
          <w:sz w:val="32"/>
          <w:szCs w:val="32"/>
        </w:rPr>
      </w:pPr>
      <w:r>
        <w:rPr>
          <w:rFonts w:hint="eastAsia" w:ascii="黑体" w:hAnsi="黑体" w:eastAsia="黑体"/>
          <w:b w:val="0"/>
          <w:sz w:val="32"/>
          <w:szCs w:val="32"/>
        </w:rPr>
        <w:t>五、办理流程</w:t>
      </w:r>
    </w:p>
    <w:p>
      <w:pPr>
        <w:widowControl/>
        <w:adjustRightInd w:val="0"/>
        <w:snapToGrid w:val="0"/>
        <w:spacing w:beforeLines="0" w:afterLines="0"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（一）申请单位按照相关资金操作规程的具体要求备齐资料，通过南山区产业发展综合服务平台提出资助申请，并按要求将有关材料递交区企业服务中心窗口；</w:t>
      </w:r>
    </w:p>
    <w:p>
      <w:pPr>
        <w:widowControl/>
        <w:adjustRightInd w:val="0"/>
        <w:snapToGrid w:val="0"/>
        <w:spacing w:beforeLines="0" w:afterLines="0"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（二）区企业服务中心统一受理单位申请，对申报材料进行形式性审核；</w:t>
      </w:r>
    </w:p>
    <w:p>
      <w:pPr>
        <w:widowControl/>
        <w:adjustRightInd w:val="0"/>
        <w:snapToGrid w:val="0"/>
        <w:spacing w:beforeLines="0" w:afterLines="0"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（三）资金主管部门对申请项目进行核准或组织评审，并编制项目资助计划；</w:t>
      </w:r>
    </w:p>
    <w:p>
      <w:pPr>
        <w:widowControl/>
        <w:adjustRightInd w:val="0"/>
        <w:snapToGrid w:val="0"/>
        <w:spacing w:beforeLines="0" w:afterLines="0"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（四）区财政局对资金主管部门的项目资助计划进行复核，区统计局对申报企业在地统计开展情况进行核查，市市场监督管理局南山监管局对申报企业注册地情况进行核查； </w:t>
      </w:r>
    </w:p>
    <w:p>
      <w:pPr>
        <w:widowControl/>
        <w:adjustRightInd w:val="0"/>
        <w:snapToGrid w:val="0"/>
        <w:spacing w:beforeLines="0" w:afterLines="0"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（五）区企业服务中心将各资金主管部门项目资助计划向社会公示 5 个工作日，对公示期满，无有效投诉的项目资助计划，提交领导小组会议进行审议；</w:t>
      </w:r>
    </w:p>
    <w:p>
      <w:pPr>
        <w:widowControl/>
        <w:adjustRightInd w:val="0"/>
        <w:snapToGrid w:val="0"/>
        <w:spacing w:beforeLines="0" w:afterLines="0"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（六）召开领导小组会议，对各资金主管部门提交的专项资金项目资助计划进行审定；</w:t>
      </w:r>
    </w:p>
    <w:p>
      <w:pPr>
        <w:widowControl/>
        <w:adjustRightInd w:val="0"/>
        <w:snapToGrid w:val="0"/>
        <w:spacing w:beforeLines="0" w:afterLines="0"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（七）资金主管部门依据领导小组会议要求，会同区财政部门联合行文下达资金计划；</w:t>
      </w:r>
    </w:p>
    <w:p>
      <w:pPr>
        <w:widowControl/>
        <w:adjustRightInd w:val="0"/>
        <w:snapToGrid w:val="0"/>
        <w:spacing w:beforeLines="0" w:afterLines="0"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（八）对获得专项资金扶持的事前资助项目，资金主管部门与项目申报单位签订专项合同；</w:t>
      </w:r>
    </w:p>
    <w:p>
      <w:pPr>
        <w:widowControl/>
        <w:adjustRightInd w:val="0"/>
        <w:snapToGrid w:val="0"/>
        <w:spacing w:beforeLines="0" w:afterLines="0"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（九）区财政部门及时安排资金，资金主管部门办理资金拨付手续；</w:t>
      </w:r>
    </w:p>
    <w:p>
      <w:pPr>
        <w:adjustRightInd w:val="0"/>
        <w:snapToGrid w:val="0"/>
        <w:spacing w:beforeLines="0" w:afterLines="0"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（十）产业资金支持政策中申请与审核程序有其他除外情形的，在各分项资金实施细则中另行作出明确规定。</w:t>
      </w:r>
    </w:p>
    <w:p>
      <w:pPr>
        <w:widowControl/>
        <w:adjustRightInd w:val="0"/>
        <w:snapToGrid w:val="0"/>
        <w:spacing w:beforeLines="0" w:afterLines="0" w:line="560" w:lineRule="exact"/>
        <w:ind w:firstLine="640" w:firstLineChars="200"/>
        <w:rPr>
          <w:rFonts w:ascii="黑体" w:hAnsi="黑体" w:eastAsia="黑体"/>
          <w:b w:val="0"/>
          <w:sz w:val="32"/>
          <w:szCs w:val="32"/>
        </w:rPr>
      </w:pPr>
      <w:r>
        <w:rPr>
          <w:rFonts w:hint="eastAsia" w:ascii="黑体" w:hAnsi="黑体" w:eastAsia="黑体"/>
          <w:b w:val="0"/>
          <w:sz w:val="32"/>
          <w:szCs w:val="32"/>
        </w:rPr>
        <w:t>六、所需材料</w:t>
      </w:r>
    </w:p>
    <w:p>
      <w:pPr>
        <w:widowControl/>
        <w:adjustRightInd w:val="0"/>
        <w:snapToGrid w:val="0"/>
        <w:spacing w:beforeLines="0" w:afterLines="0" w:line="560" w:lineRule="exact"/>
        <w:ind w:firstLine="640" w:firstLineChars="200"/>
        <w:rPr>
          <w:rFonts w:ascii="仿宋_GB2312" w:eastAsia="仿宋_GB2312"/>
          <w:sz w:val="32"/>
          <w:szCs w:val="32"/>
        </w:rPr>
      </w:pPr>
      <w:r>
        <w:rPr>
          <w:rFonts w:hint="eastAsia" w:ascii="仿宋_GB2312" w:eastAsia="仿宋_GB2312"/>
          <w:sz w:val="32"/>
          <w:szCs w:val="32"/>
        </w:rPr>
        <w:t>（一）《项目申请书》（登录</w:t>
      </w:r>
      <w:r>
        <w:rPr>
          <w:rFonts w:hint="eastAsia" w:ascii="仿宋_GB2312" w:eastAsia="仿宋_GB2312" w:cs="Times New Roman"/>
          <w:color w:val="auto"/>
          <w:kern w:val="2"/>
          <w:sz w:val="32"/>
          <w:szCs w:val="32"/>
        </w:rPr>
        <w:t>南山区产业发展综合服务平台</w:t>
      </w:r>
      <w:r>
        <w:rPr>
          <w:rFonts w:hint="eastAsia" w:ascii="仿宋_GB2312" w:eastAsia="仿宋_GB2312"/>
          <w:sz w:val="32"/>
          <w:szCs w:val="32"/>
        </w:rPr>
        <w:t>http://sfms.szns.gov.cn/在线填写，提供通过该系统打印的申请书纸质文件原件）；</w:t>
      </w:r>
    </w:p>
    <w:p>
      <w:pPr>
        <w:widowControl/>
        <w:adjustRightInd w:val="0"/>
        <w:snapToGrid w:val="0"/>
        <w:spacing w:beforeLines="0" w:afterLines="0" w:line="560" w:lineRule="exact"/>
        <w:ind w:firstLine="640" w:firstLineChars="200"/>
        <w:rPr>
          <w:rFonts w:ascii="仿宋_GB2312" w:eastAsia="仿宋_GB2312"/>
          <w:sz w:val="32"/>
          <w:szCs w:val="32"/>
        </w:rPr>
      </w:pPr>
      <w:r>
        <w:rPr>
          <w:rFonts w:hint="eastAsia" w:ascii="仿宋_GB2312" w:eastAsia="仿宋_GB2312"/>
          <w:sz w:val="32"/>
          <w:szCs w:val="32"/>
        </w:rPr>
        <w:t>（二）</w:t>
      </w:r>
      <w:r>
        <w:rPr>
          <w:rFonts w:hint="eastAsia" w:ascii="仿宋_GB2312" w:hAnsi="宋体" w:eastAsia="仿宋_GB2312" w:cs="宋体"/>
          <w:sz w:val="32"/>
          <w:szCs w:val="32"/>
        </w:rPr>
        <w:t>新版“三证合一”营业执照（网上提交资料要求：原件彩色扫描上传；纸质材料要求：验原件，复印件加盖公章）</w:t>
      </w:r>
    </w:p>
    <w:p>
      <w:pPr>
        <w:widowControl/>
        <w:adjustRightInd w:val="0"/>
        <w:snapToGrid w:val="0"/>
        <w:spacing w:beforeLines="0" w:afterLines="0" w:line="560" w:lineRule="exact"/>
        <w:ind w:firstLine="640" w:firstLineChars="200"/>
        <w:rPr>
          <w:rFonts w:ascii="仿宋_GB2312" w:hAnsi="宋体" w:eastAsia="仿宋_GB2312" w:cs="宋体"/>
          <w:sz w:val="32"/>
          <w:szCs w:val="32"/>
        </w:rPr>
      </w:pPr>
      <w:r>
        <w:rPr>
          <w:rFonts w:hint="eastAsia" w:ascii="仿宋_GB2312" w:eastAsia="仿宋_GB2312"/>
          <w:sz w:val="32"/>
          <w:szCs w:val="32"/>
        </w:rPr>
        <w:t>（三）法定代表人身份证</w:t>
      </w:r>
      <w:r>
        <w:rPr>
          <w:rFonts w:hint="eastAsia" w:ascii="仿宋_GB2312" w:hAnsi="宋体" w:eastAsia="仿宋_GB2312" w:cs="宋体"/>
          <w:sz w:val="32"/>
          <w:szCs w:val="32"/>
        </w:rPr>
        <w:t>[网上提交资料要求：原件（复印件加盖公章）彩色扫描上传；纸质材料要求：复印件加盖公章]；</w:t>
      </w:r>
    </w:p>
    <w:p>
      <w:pPr>
        <w:widowControl/>
        <w:adjustRightInd w:val="0"/>
        <w:snapToGrid w:val="0"/>
        <w:spacing w:beforeLines="0" w:afterLines="0" w:line="560" w:lineRule="exact"/>
        <w:ind w:firstLine="640" w:firstLineChars="200"/>
        <w:rPr>
          <w:rFonts w:ascii="仿宋_GB2312" w:hAnsi="宋体" w:eastAsia="仿宋_GB2312" w:cs="宋体"/>
          <w:sz w:val="32"/>
          <w:szCs w:val="32"/>
        </w:rPr>
      </w:pPr>
      <w:r>
        <w:rPr>
          <w:rFonts w:hint="eastAsia" w:ascii="仿宋_GB2312" w:eastAsia="仿宋_GB2312"/>
          <w:sz w:val="32"/>
          <w:szCs w:val="32"/>
        </w:rPr>
        <w:t>（四）税务部门开具的单位上年度纳税证明</w:t>
      </w:r>
      <w:r>
        <w:rPr>
          <w:rFonts w:hint="eastAsia" w:ascii="仿宋_GB2312" w:hAnsi="宋体" w:eastAsia="仿宋_GB2312" w:cs="宋体"/>
          <w:sz w:val="32"/>
          <w:szCs w:val="32"/>
        </w:rPr>
        <w:t>（</w:t>
      </w:r>
      <w:r>
        <w:rPr>
          <w:rFonts w:hint="eastAsia" w:ascii="仿宋_GB2312" w:eastAsia="仿宋_GB2312"/>
          <w:sz w:val="32"/>
          <w:szCs w:val="32"/>
        </w:rPr>
        <w:t>网上提交资料要求：上传税务申报系统下载的电子版；纸质材料要求:税务申报系统下载电子版打印并加盖企业公章</w:t>
      </w:r>
      <w:r>
        <w:rPr>
          <w:rFonts w:hint="eastAsia" w:ascii="仿宋_GB2312" w:hAnsi="宋体" w:eastAsia="仿宋_GB2312" w:cs="宋体"/>
          <w:sz w:val="32"/>
          <w:szCs w:val="32"/>
        </w:rPr>
        <w:t>）；</w:t>
      </w:r>
    </w:p>
    <w:p>
      <w:pPr>
        <w:widowControl/>
        <w:adjustRightInd w:val="0"/>
        <w:snapToGrid w:val="0"/>
        <w:spacing w:beforeLines="0" w:afterLines="0" w:line="560" w:lineRule="exact"/>
        <w:ind w:firstLine="640" w:firstLineChars="200"/>
        <w:rPr>
          <w:rFonts w:ascii="仿宋_GB2312" w:eastAsia="仿宋_GB2312"/>
          <w:sz w:val="32"/>
          <w:szCs w:val="32"/>
        </w:rPr>
      </w:pPr>
      <w:r>
        <w:rPr>
          <w:rFonts w:hint="eastAsia" w:ascii="仿宋_GB2312" w:eastAsia="仿宋_GB2312"/>
          <w:sz w:val="32"/>
          <w:szCs w:val="32"/>
        </w:rPr>
        <w:t>（五）申请购置办公用房资助的，提供购买办公用房的购买合同、房屋所有权证复印件以及相关付款凭证、发票</w:t>
      </w:r>
      <w:r>
        <w:rPr>
          <w:rFonts w:hint="eastAsia" w:ascii="仿宋_GB2312" w:hAnsi="宋体" w:eastAsia="仿宋_GB2312" w:cs="宋体"/>
          <w:sz w:val="32"/>
          <w:szCs w:val="32"/>
        </w:rPr>
        <w:t>（网上提交资料要求：原件彩色扫描上传；纸质材料要求：验原件，复印件加盖公章）</w:t>
      </w:r>
    </w:p>
    <w:p>
      <w:pPr>
        <w:widowControl/>
        <w:adjustRightInd w:val="0"/>
        <w:snapToGrid w:val="0"/>
        <w:spacing w:beforeLines="0" w:afterLines="0" w:line="560" w:lineRule="exact"/>
        <w:ind w:firstLine="640" w:firstLineChars="200"/>
        <w:rPr>
          <w:rFonts w:ascii="仿宋_GB2312" w:eastAsia="仿宋_GB2312"/>
          <w:sz w:val="32"/>
          <w:szCs w:val="32"/>
        </w:rPr>
      </w:pPr>
      <w:r>
        <w:rPr>
          <w:rFonts w:hint="eastAsia" w:ascii="仿宋_GB2312" w:eastAsia="仿宋_GB2312"/>
          <w:sz w:val="32"/>
          <w:szCs w:val="32"/>
        </w:rPr>
        <w:t>（六）申请租赁办公用房资助的，提供租赁办公用房书面合同及相关付款凭证、发票</w:t>
      </w:r>
      <w:r>
        <w:rPr>
          <w:rFonts w:hint="eastAsia" w:ascii="仿宋_GB2312" w:hAnsi="宋体" w:eastAsia="仿宋_GB2312" w:cs="宋体"/>
          <w:sz w:val="32"/>
          <w:szCs w:val="32"/>
        </w:rPr>
        <w:t>（网上提交资料要求：原件彩色扫描上传；纸质材料要求：验原件，复印件加盖公章）</w:t>
      </w:r>
      <w:r>
        <w:rPr>
          <w:rFonts w:hint="eastAsia" w:ascii="仿宋_GB2312" w:eastAsia="仿宋_GB2312"/>
          <w:sz w:val="32"/>
          <w:szCs w:val="32"/>
        </w:rPr>
        <w:t>，填报租赁办公用房信息明细表（格式参见附件，按照统一模板填写打印并加盖企业公章，网上按照统一模板上传）；</w:t>
      </w:r>
    </w:p>
    <w:p>
      <w:pPr>
        <w:widowControl/>
        <w:adjustRightInd w:val="0"/>
        <w:snapToGrid w:val="0"/>
        <w:spacing w:beforeLines="0" w:afterLines="0" w:line="560" w:lineRule="exact"/>
        <w:ind w:firstLine="640" w:firstLineChars="200"/>
        <w:rPr>
          <w:rFonts w:ascii="仿宋_GB2312" w:hAnsi="宋体" w:eastAsia="仿宋_GB2312" w:cs="宋体"/>
          <w:sz w:val="32"/>
          <w:szCs w:val="32"/>
        </w:rPr>
      </w:pPr>
      <w:r>
        <w:rPr>
          <w:rFonts w:hint="eastAsia" w:ascii="仿宋_GB2312" w:eastAsia="仿宋_GB2312"/>
          <w:sz w:val="32"/>
          <w:szCs w:val="32"/>
        </w:rPr>
        <w:t>（七）企业办公用房的情况说明书（包括现阶段的使用情况，有无租赁、购买南山区政府政策性产业用房、有无享受用地政策等内容）</w:t>
      </w:r>
      <w:r>
        <w:rPr>
          <w:rFonts w:hint="eastAsia" w:ascii="仿宋_GB2312" w:hAnsi="宋体" w:eastAsia="仿宋_GB2312" w:cs="宋体"/>
          <w:sz w:val="32"/>
          <w:szCs w:val="32"/>
        </w:rPr>
        <w:t>（网上提交资料要求：原件彩色扫描上传；纸质材料要求：交原件）</w:t>
      </w:r>
    </w:p>
    <w:p>
      <w:pPr>
        <w:widowControl/>
        <w:adjustRightInd w:val="0"/>
        <w:snapToGrid w:val="0"/>
        <w:spacing w:beforeLines="0" w:afterLines="0" w:line="560" w:lineRule="exact"/>
        <w:ind w:firstLine="640" w:firstLineChars="200"/>
        <w:rPr>
          <w:rFonts w:ascii="仿宋_GB2312" w:eastAsia="仿宋_GB2312"/>
          <w:sz w:val="32"/>
          <w:szCs w:val="32"/>
        </w:rPr>
      </w:pPr>
      <w:r>
        <w:rPr>
          <w:rFonts w:hint="eastAsia" w:ascii="仿宋_GB2312" w:eastAsia="仿宋_GB2312"/>
          <w:sz w:val="32"/>
          <w:szCs w:val="32"/>
        </w:rPr>
        <w:t>（八）审核部门认为需要提供的其它材料。</w:t>
      </w:r>
    </w:p>
    <w:p>
      <w:pPr>
        <w:widowControl/>
        <w:adjustRightInd w:val="0"/>
        <w:snapToGrid w:val="0"/>
        <w:spacing w:beforeLines="0" w:afterLines="0" w:line="560" w:lineRule="exact"/>
        <w:ind w:firstLine="640" w:firstLineChars="200"/>
        <w:rPr>
          <w:rFonts w:ascii="仿宋_GB2312" w:eastAsia="仿宋_GB2312"/>
          <w:sz w:val="32"/>
          <w:szCs w:val="32"/>
        </w:rPr>
      </w:pPr>
      <w:r>
        <w:rPr>
          <w:rFonts w:hint="eastAsia" w:ascii="仿宋_GB2312" w:eastAsia="仿宋_GB2312"/>
          <w:sz w:val="32"/>
          <w:szCs w:val="32"/>
        </w:rPr>
        <w:t>说明：以上材料按照要求在线填写或采用附件形式在线提交，接到递交纸质材料通知后将上述材料按顺序装订，一式一份，A4纸正反面打印/复印，非空白页（含封面）需连续编写页码，纸质版和在线提交材料必须完全一致，装订成册（胶装），加盖骑缝章提交，需验原件的请同时提供原件待验。</w:t>
      </w:r>
    </w:p>
    <w:p>
      <w:pPr>
        <w:widowControl/>
        <w:adjustRightInd w:val="0"/>
        <w:snapToGrid w:val="0"/>
        <w:spacing w:beforeLines="0" w:afterLines="0" w:line="560" w:lineRule="exact"/>
        <w:ind w:firstLine="640" w:firstLineChars="200"/>
        <w:rPr>
          <w:rFonts w:ascii="黑体" w:hAnsi="黑体" w:eastAsia="黑体"/>
          <w:b w:val="0"/>
          <w:sz w:val="32"/>
          <w:szCs w:val="32"/>
        </w:rPr>
      </w:pPr>
      <w:r>
        <w:rPr>
          <w:rFonts w:hint="eastAsia" w:ascii="黑体" w:hAnsi="黑体" w:eastAsia="黑体"/>
          <w:b w:val="0"/>
          <w:sz w:val="32"/>
          <w:szCs w:val="32"/>
        </w:rPr>
        <w:t>七、时限要求</w:t>
      </w:r>
    </w:p>
    <w:p>
      <w:pPr>
        <w:widowControl/>
        <w:adjustRightInd w:val="0"/>
        <w:snapToGrid w:val="0"/>
        <w:spacing w:beforeLines="0" w:afterLines="0" w:line="560" w:lineRule="exact"/>
        <w:ind w:firstLine="640" w:firstLineChars="200"/>
        <w:rPr>
          <w:rFonts w:ascii="仿宋_GB2312" w:eastAsia="仿宋_GB2312"/>
          <w:sz w:val="32"/>
          <w:szCs w:val="32"/>
        </w:rPr>
      </w:pPr>
      <w:r>
        <w:rPr>
          <w:rFonts w:hint="eastAsia" w:ascii="仿宋_GB2312" w:eastAsia="仿宋_GB2312"/>
          <w:sz w:val="32"/>
          <w:szCs w:val="32"/>
        </w:rPr>
        <w:t>区工业和信息化局每年安排1-2次集中受理企业申请（具体时间以发布的申报通知为准），资助计划下达1个月内受资助单位须办理资金拨付手续，逾期不办理者视为自动放弃。</w:t>
      </w:r>
    </w:p>
    <w:p>
      <w:pPr>
        <w:widowControl/>
        <w:adjustRightInd w:val="0"/>
        <w:snapToGrid w:val="0"/>
        <w:spacing w:beforeLines="0" w:afterLines="0" w:line="560" w:lineRule="exact"/>
        <w:ind w:firstLine="640" w:firstLineChars="200"/>
        <w:rPr>
          <w:rFonts w:ascii="黑体" w:hAnsi="黑体" w:eastAsia="黑体"/>
          <w:b w:val="0"/>
          <w:sz w:val="32"/>
          <w:szCs w:val="32"/>
        </w:rPr>
      </w:pPr>
      <w:r>
        <w:rPr>
          <w:rFonts w:hint="eastAsia" w:ascii="黑体" w:hAnsi="黑体" w:eastAsia="黑体"/>
          <w:b w:val="0"/>
          <w:sz w:val="32"/>
          <w:szCs w:val="32"/>
        </w:rPr>
        <w:t>八、其他事项</w:t>
      </w:r>
    </w:p>
    <w:p>
      <w:pPr>
        <w:widowControl/>
        <w:adjustRightInd w:val="0"/>
        <w:snapToGrid w:val="0"/>
        <w:spacing w:beforeLines="0" w:afterLines="0" w:line="560" w:lineRule="exact"/>
        <w:ind w:firstLine="640" w:firstLineChars="200"/>
        <w:rPr>
          <w:rFonts w:ascii="仿宋_GB2312" w:eastAsia="仿宋_GB2312"/>
          <w:sz w:val="32"/>
          <w:szCs w:val="32"/>
        </w:rPr>
      </w:pPr>
      <w:r>
        <w:rPr>
          <w:rFonts w:hint="eastAsia" w:ascii="仿宋_GB2312" w:eastAsia="仿宋_GB2312"/>
          <w:sz w:val="32"/>
          <w:szCs w:val="32"/>
        </w:rPr>
        <w:t>申请本项目资助的企业应保证其申报材料的完整性、真实性、准确性及合法性，并承担所提交项目申报材料的相关法律责任，如有虚假或侵权等行为，该项目申请无效，如事后发现存在以上行为，本资金主管部门将保留依法追究其法律责任的权利。</w:t>
      </w:r>
    </w:p>
    <w:p>
      <w:pPr>
        <w:widowControl/>
        <w:adjustRightInd w:val="0"/>
        <w:snapToGrid w:val="0"/>
        <w:spacing w:beforeLines="0" w:afterLines="0" w:line="560" w:lineRule="exact"/>
        <w:ind w:firstLine="640" w:firstLineChars="200"/>
        <w:rPr>
          <w:rFonts w:ascii="黑体" w:hAnsi="黑体" w:eastAsia="黑体"/>
          <w:b w:val="0"/>
          <w:sz w:val="32"/>
          <w:szCs w:val="32"/>
        </w:rPr>
      </w:pPr>
      <w:r>
        <w:rPr>
          <w:rFonts w:hint="eastAsia" w:ascii="黑体" w:hAnsi="黑体" w:eastAsia="黑体"/>
          <w:b w:val="0"/>
          <w:sz w:val="32"/>
          <w:szCs w:val="32"/>
        </w:rPr>
        <w:t>九、附则</w:t>
      </w:r>
    </w:p>
    <w:p>
      <w:pPr>
        <w:adjustRightInd w:val="0"/>
        <w:snapToGrid w:val="0"/>
        <w:spacing w:beforeLines="0" w:afterLines="0" w:line="560" w:lineRule="exact"/>
        <w:ind w:firstLine="640" w:firstLineChars="200"/>
        <w:rPr>
          <w:rFonts w:ascii="仿宋_GB2312" w:eastAsia="仿宋_GB2312"/>
          <w:sz w:val="32"/>
          <w:szCs w:val="32"/>
        </w:rPr>
      </w:pPr>
      <w:r>
        <w:rPr>
          <w:rFonts w:hint="eastAsia" w:ascii="仿宋_GB2312" w:eastAsia="仿宋_GB2312"/>
          <w:sz w:val="32"/>
          <w:szCs w:val="32"/>
        </w:rPr>
        <w:t>本操作规程由南山区工业和信息化局负责解释，自发布之日起施行。</w:t>
      </w:r>
    </w:p>
    <w:p>
      <w:pPr>
        <w:spacing w:beforeLines="0" w:afterLines="0" w:line="560" w:lineRule="exact"/>
        <w:rPr>
          <w:rFonts w:ascii="仿宋_GB2312" w:eastAsia="仿宋_GB2312"/>
          <w:color w:val="000000"/>
          <w:sz w:val="32"/>
          <w:szCs w:val="32"/>
        </w:rPr>
        <w:sectPr>
          <w:footerReference r:id="rId3" w:type="default"/>
          <w:footerReference r:id="rId4" w:type="even"/>
          <w:pgSz w:w="11906" w:h="16838"/>
          <w:pgMar w:top="1440" w:right="1361" w:bottom="1440" w:left="1587" w:header="851" w:footer="992" w:gutter="0"/>
          <w:cols w:space="720" w:num="1"/>
          <w:docGrid w:type="lines" w:linePitch="312" w:charSpace="0"/>
        </w:sectPr>
      </w:pPr>
    </w:p>
    <w:p>
      <w:pPr>
        <w:spacing w:beforeLines="0" w:afterLines="0" w:line="560" w:lineRule="exact"/>
        <w:rPr>
          <w:rFonts w:ascii="仿宋_GB2312" w:eastAsia="仿宋_GB2312"/>
          <w:color w:val="000000"/>
          <w:sz w:val="32"/>
          <w:szCs w:val="32"/>
        </w:rPr>
      </w:pPr>
      <w:r>
        <w:rPr>
          <w:rFonts w:hint="eastAsia" w:ascii="仿宋_GB2312" w:eastAsia="仿宋_GB2312"/>
          <w:color w:val="000000"/>
          <w:sz w:val="32"/>
          <w:szCs w:val="32"/>
        </w:rPr>
        <w:t>附件：</w:t>
      </w:r>
    </w:p>
    <w:p>
      <w:pPr>
        <w:spacing w:beforeLines="0" w:afterLines="0" w:line="560" w:lineRule="exact"/>
        <w:jc w:val="center"/>
        <w:rPr>
          <w:rFonts w:ascii="黑体" w:eastAsia="黑体"/>
          <w:sz w:val="32"/>
          <w:szCs w:val="32"/>
        </w:rPr>
      </w:pPr>
      <w:r>
        <w:rPr>
          <w:rFonts w:hint="eastAsia" w:ascii="黑体" w:eastAsia="黑体"/>
          <w:sz w:val="32"/>
          <w:szCs w:val="32"/>
        </w:rPr>
        <w:t>租赁办公用房信息明细表</w:t>
      </w:r>
    </w:p>
    <w:tbl>
      <w:tblPr>
        <w:tblStyle w:val="11"/>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633"/>
        <w:gridCol w:w="267"/>
        <w:gridCol w:w="158"/>
        <w:gridCol w:w="1134"/>
        <w:gridCol w:w="1134"/>
        <w:gridCol w:w="1354"/>
        <w:gridCol w:w="1980"/>
        <w:gridCol w:w="1800"/>
        <w:tblGridChange w:id="0">
          <w:tblGrid>
            <w:gridCol w:w="504"/>
            <w:gridCol w:w="216"/>
            <w:gridCol w:w="360"/>
            <w:gridCol w:w="144"/>
            <w:gridCol w:w="129"/>
            <w:gridCol w:w="267"/>
            <w:gridCol w:w="158"/>
            <w:gridCol w:w="1134"/>
            <w:gridCol w:w="2488"/>
            <w:gridCol w:w="1980"/>
            <w:gridCol w:w="1800"/>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353" w:type="dxa"/>
            <w:gridSpan w:val="2"/>
            <w:vAlign w:val="center"/>
          </w:tcPr>
          <w:p>
            <w:pPr>
              <w:snapToGrid w:val="0"/>
              <w:spacing w:beforeLines="0" w:afterLines="0" w:line="560" w:lineRule="exact"/>
              <w:rPr>
                <w:rFonts w:asciiTheme="minorEastAsia" w:hAnsiTheme="minorEastAsia" w:eastAsiaTheme="minorEastAsia"/>
              </w:rPr>
            </w:pPr>
            <w:r>
              <w:rPr>
                <w:rFonts w:hint="eastAsia" w:asciiTheme="minorEastAsia" w:hAnsiTheme="minorEastAsia" w:eastAsiaTheme="minorEastAsia"/>
              </w:rPr>
              <w:t>合同名称</w:t>
            </w:r>
          </w:p>
        </w:tc>
        <w:tc>
          <w:tcPr>
            <w:tcW w:w="7827" w:type="dxa"/>
            <w:gridSpan w:val="7"/>
            <w:vAlign w:val="center"/>
          </w:tcPr>
          <w:p>
            <w:pPr>
              <w:snapToGrid w:val="0"/>
              <w:spacing w:beforeLines="0" w:afterLines="0" w:line="560" w:lineRule="exac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353" w:type="dxa"/>
            <w:gridSpan w:val="2"/>
            <w:vAlign w:val="center"/>
          </w:tcPr>
          <w:p>
            <w:pPr>
              <w:snapToGrid w:val="0"/>
              <w:spacing w:line="240" w:lineRule="atLeast"/>
              <w:rPr>
                <w:rFonts w:asciiTheme="minorEastAsia" w:hAnsiTheme="minorEastAsia" w:eastAsiaTheme="minorEastAsia"/>
              </w:rPr>
            </w:pPr>
            <w:r>
              <w:rPr>
                <w:rFonts w:hint="eastAsia" w:asciiTheme="minorEastAsia" w:hAnsiTheme="minorEastAsia" w:eastAsiaTheme="minorEastAsia"/>
              </w:rPr>
              <w:t>出租人名称</w:t>
            </w:r>
          </w:p>
        </w:tc>
        <w:tc>
          <w:tcPr>
            <w:tcW w:w="7827" w:type="dxa"/>
            <w:gridSpan w:val="7"/>
            <w:vAlign w:val="center"/>
          </w:tcPr>
          <w:p>
            <w:pPr>
              <w:snapToGrid w:val="0"/>
              <w:spacing w:line="240" w:lineRule="atLeas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353" w:type="dxa"/>
            <w:gridSpan w:val="2"/>
            <w:vAlign w:val="center"/>
          </w:tcPr>
          <w:p>
            <w:pPr>
              <w:snapToGrid w:val="0"/>
              <w:spacing w:line="240" w:lineRule="atLeast"/>
              <w:rPr>
                <w:rFonts w:asciiTheme="minorEastAsia" w:hAnsiTheme="minorEastAsia" w:eastAsiaTheme="minorEastAsia"/>
              </w:rPr>
            </w:pPr>
            <w:r>
              <w:rPr>
                <w:rFonts w:hint="eastAsia" w:asciiTheme="minorEastAsia" w:hAnsiTheme="minorEastAsia" w:eastAsiaTheme="minorEastAsia"/>
              </w:rPr>
              <w:t>物业地址</w:t>
            </w:r>
          </w:p>
        </w:tc>
        <w:tc>
          <w:tcPr>
            <w:tcW w:w="7827" w:type="dxa"/>
            <w:gridSpan w:val="7"/>
            <w:vAlign w:val="center"/>
          </w:tcPr>
          <w:p>
            <w:pPr>
              <w:snapToGrid w:val="0"/>
              <w:spacing w:line="240" w:lineRule="atLeas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353" w:type="dxa"/>
            <w:gridSpan w:val="2"/>
            <w:vAlign w:val="center"/>
          </w:tcPr>
          <w:p>
            <w:pPr>
              <w:snapToGrid w:val="0"/>
              <w:spacing w:line="240" w:lineRule="atLeast"/>
              <w:rPr>
                <w:rFonts w:asciiTheme="minorEastAsia" w:hAnsiTheme="minorEastAsia" w:eastAsiaTheme="minorEastAsia"/>
              </w:rPr>
            </w:pPr>
            <w:r>
              <w:rPr>
                <w:rFonts w:hint="eastAsia" w:asciiTheme="minorEastAsia" w:hAnsiTheme="minorEastAsia" w:eastAsiaTheme="minorEastAsia"/>
              </w:rPr>
              <w:t>起租时间</w:t>
            </w:r>
          </w:p>
        </w:tc>
        <w:tc>
          <w:tcPr>
            <w:tcW w:w="4047" w:type="dxa"/>
            <w:gridSpan w:val="5"/>
            <w:vAlign w:val="center"/>
          </w:tcPr>
          <w:p>
            <w:pPr>
              <w:snapToGrid w:val="0"/>
              <w:spacing w:line="240" w:lineRule="atLeast"/>
              <w:rPr>
                <w:rFonts w:asciiTheme="minorEastAsia" w:hAnsiTheme="minorEastAsia" w:eastAsiaTheme="minorEastAsia"/>
              </w:rPr>
            </w:pPr>
            <w:r>
              <w:rPr>
                <w:rFonts w:asciiTheme="minorEastAsia" w:hAnsiTheme="minorEastAsia" w:eastAsiaTheme="minorEastAsia"/>
                <w:bCs/>
                <w:szCs w:val="21"/>
              </w:rPr>
              <w:t xml:space="preserve">    </w:t>
            </w:r>
            <w:r>
              <w:rPr>
                <w:rFonts w:hint="eastAsia" w:asciiTheme="minorEastAsia" w:hAnsiTheme="minorEastAsia" w:eastAsiaTheme="minorEastAsia"/>
                <w:bCs/>
                <w:szCs w:val="21"/>
              </w:rPr>
              <w:t>年</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月</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日</w:t>
            </w:r>
          </w:p>
        </w:tc>
        <w:tc>
          <w:tcPr>
            <w:tcW w:w="1980" w:type="dxa"/>
            <w:vAlign w:val="center"/>
          </w:tcPr>
          <w:p>
            <w:pPr>
              <w:snapToGrid w:val="0"/>
              <w:spacing w:line="240" w:lineRule="atLeast"/>
              <w:rPr>
                <w:rFonts w:asciiTheme="minorEastAsia" w:hAnsiTheme="minorEastAsia" w:eastAsiaTheme="minorEastAsia"/>
              </w:rPr>
            </w:pPr>
            <w:r>
              <w:rPr>
                <w:rFonts w:hint="eastAsia" w:asciiTheme="minorEastAsia" w:hAnsiTheme="minorEastAsia" w:eastAsiaTheme="minorEastAsia"/>
              </w:rPr>
              <w:t>租赁面积</w:t>
            </w:r>
            <w:r>
              <w:rPr>
                <w:rFonts w:asciiTheme="minorEastAsia" w:hAnsiTheme="minorEastAsia" w:eastAsiaTheme="minorEastAsia"/>
                <w:bCs/>
                <w:szCs w:val="21"/>
              </w:rPr>
              <w:t>( m</w:t>
            </w:r>
            <w:r>
              <w:rPr>
                <w:rFonts w:asciiTheme="minorEastAsia" w:hAnsiTheme="minorEastAsia" w:eastAsiaTheme="minorEastAsia"/>
                <w:bCs/>
                <w:szCs w:val="21"/>
                <w:vertAlign w:val="superscript"/>
              </w:rPr>
              <w:t>2</w:t>
            </w:r>
            <w:r>
              <w:rPr>
                <w:rFonts w:asciiTheme="minorEastAsia" w:hAnsiTheme="minorEastAsia" w:eastAsiaTheme="minorEastAsia"/>
                <w:bCs/>
                <w:szCs w:val="21"/>
              </w:rPr>
              <w:t>)</w:t>
            </w:r>
          </w:p>
        </w:tc>
        <w:tc>
          <w:tcPr>
            <w:tcW w:w="1800" w:type="dxa"/>
            <w:vAlign w:val="center"/>
          </w:tcPr>
          <w:p>
            <w:pPr>
              <w:snapToGrid w:val="0"/>
              <w:spacing w:line="240" w:lineRule="atLeas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620" w:type="dxa"/>
            <w:gridSpan w:val="3"/>
            <w:vAlign w:val="center"/>
          </w:tcPr>
          <w:p>
            <w:pPr>
              <w:snapToGrid w:val="0"/>
              <w:spacing w:line="240" w:lineRule="atLeast"/>
              <w:rPr>
                <w:rFonts w:asciiTheme="minorEastAsia" w:hAnsiTheme="minorEastAsia" w:eastAsiaTheme="minorEastAsia"/>
              </w:rPr>
            </w:pPr>
            <w:r>
              <w:rPr>
                <w:rFonts w:hint="eastAsia" w:asciiTheme="minorEastAsia" w:hAnsiTheme="minorEastAsia" w:eastAsiaTheme="minorEastAsia"/>
                <w:bCs/>
                <w:szCs w:val="21"/>
              </w:rPr>
              <w:t>申请资助时段</w:t>
            </w:r>
          </w:p>
        </w:tc>
        <w:tc>
          <w:tcPr>
            <w:tcW w:w="3780" w:type="dxa"/>
            <w:gridSpan w:val="4"/>
            <w:vAlign w:val="center"/>
          </w:tcPr>
          <w:p>
            <w:pPr>
              <w:snapToGrid w:val="0"/>
              <w:spacing w:line="240" w:lineRule="atLeast"/>
              <w:rPr>
                <w:rFonts w:asciiTheme="minorEastAsia" w:hAnsiTheme="minorEastAsia" w:eastAsiaTheme="minorEastAsia"/>
              </w:rPr>
            </w:pPr>
            <w:r>
              <w:rPr>
                <w:rFonts w:asciiTheme="minorEastAsia" w:hAnsiTheme="minorEastAsia" w:eastAsiaTheme="minorEastAsia"/>
                <w:bCs/>
                <w:szCs w:val="21"/>
              </w:rPr>
              <w:t xml:space="preserve">    </w:t>
            </w:r>
            <w:r>
              <w:rPr>
                <w:rFonts w:hint="eastAsia" w:asciiTheme="minorEastAsia" w:hAnsiTheme="minorEastAsia" w:eastAsiaTheme="minorEastAsia"/>
                <w:bCs/>
                <w:szCs w:val="21"/>
              </w:rPr>
              <w:t>年</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月</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日至</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年</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月</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日</w:t>
            </w:r>
          </w:p>
        </w:tc>
        <w:tc>
          <w:tcPr>
            <w:tcW w:w="1980" w:type="dxa"/>
            <w:vAlign w:val="center"/>
          </w:tcPr>
          <w:p>
            <w:pPr>
              <w:snapToGrid w:val="0"/>
              <w:spacing w:line="240" w:lineRule="atLeast"/>
              <w:rPr>
                <w:rFonts w:asciiTheme="minorEastAsia" w:hAnsiTheme="minorEastAsia" w:eastAsiaTheme="minorEastAsia"/>
              </w:rPr>
            </w:pPr>
            <w:r>
              <w:rPr>
                <w:rFonts w:hint="eastAsia" w:asciiTheme="minorEastAsia" w:hAnsiTheme="minorEastAsia" w:eastAsiaTheme="minorEastAsia"/>
                <w:bCs/>
                <w:szCs w:val="21"/>
              </w:rPr>
              <w:t>申请资助时段租金合计（元）</w:t>
            </w:r>
          </w:p>
        </w:tc>
        <w:tc>
          <w:tcPr>
            <w:tcW w:w="1800" w:type="dxa"/>
            <w:vAlign w:val="center"/>
          </w:tcPr>
          <w:p>
            <w:pPr>
              <w:snapToGrid w:val="0"/>
              <w:spacing w:line="240" w:lineRule="atLeas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20" w:type="dxa"/>
            <w:vAlign w:val="center"/>
          </w:tcPr>
          <w:p>
            <w:pPr>
              <w:snapToGrid w:val="0"/>
              <w:spacing w:line="240" w:lineRule="atLeast"/>
              <w:rPr>
                <w:rFonts w:asciiTheme="minorEastAsia" w:hAnsiTheme="minorEastAsia" w:eastAsiaTheme="minorEastAsia"/>
              </w:rPr>
            </w:pPr>
            <w:r>
              <w:rPr>
                <w:rFonts w:hint="eastAsia" w:asciiTheme="minorEastAsia" w:hAnsiTheme="minorEastAsia" w:eastAsiaTheme="minorEastAsia"/>
              </w:rPr>
              <w:t>序号</w:t>
            </w:r>
          </w:p>
        </w:tc>
        <w:tc>
          <w:tcPr>
            <w:tcW w:w="1058" w:type="dxa"/>
            <w:gridSpan w:val="3"/>
            <w:vAlign w:val="center"/>
          </w:tcPr>
          <w:p>
            <w:pPr>
              <w:snapToGrid w:val="0"/>
              <w:spacing w:line="240" w:lineRule="atLeast"/>
              <w:rPr>
                <w:rFonts w:asciiTheme="minorEastAsia" w:hAnsiTheme="minorEastAsia" w:eastAsiaTheme="minorEastAsia"/>
              </w:rPr>
            </w:pPr>
            <w:r>
              <w:rPr>
                <w:rFonts w:hint="eastAsia" w:asciiTheme="minorEastAsia" w:hAnsiTheme="minorEastAsia" w:eastAsiaTheme="minorEastAsia"/>
              </w:rPr>
              <w:t>支付租金时段</w:t>
            </w:r>
          </w:p>
        </w:tc>
        <w:tc>
          <w:tcPr>
            <w:tcW w:w="1134" w:type="dxa"/>
            <w:vAlign w:val="center"/>
          </w:tcPr>
          <w:p>
            <w:pPr>
              <w:snapToGrid w:val="0"/>
              <w:spacing w:line="240" w:lineRule="atLeast"/>
              <w:rPr>
                <w:rFonts w:asciiTheme="minorEastAsia" w:hAnsiTheme="minorEastAsia" w:eastAsiaTheme="minorEastAsia"/>
              </w:rPr>
            </w:pPr>
            <w:r>
              <w:rPr>
                <w:rFonts w:hint="eastAsia" w:asciiTheme="minorEastAsia" w:hAnsiTheme="minorEastAsia" w:eastAsiaTheme="minorEastAsia"/>
              </w:rPr>
              <w:t>付款时间</w:t>
            </w:r>
          </w:p>
        </w:tc>
        <w:tc>
          <w:tcPr>
            <w:tcW w:w="1134" w:type="dxa"/>
            <w:vAlign w:val="center"/>
          </w:tcPr>
          <w:p>
            <w:pPr>
              <w:snapToGrid w:val="0"/>
              <w:spacing w:line="240" w:lineRule="atLeast"/>
              <w:rPr>
                <w:rFonts w:asciiTheme="minorEastAsia" w:hAnsiTheme="minorEastAsia" w:eastAsiaTheme="minorEastAsia"/>
              </w:rPr>
            </w:pPr>
            <w:r>
              <w:rPr>
                <w:rFonts w:hint="eastAsia" w:asciiTheme="minorEastAsia" w:hAnsiTheme="minorEastAsia" w:eastAsiaTheme="minorEastAsia"/>
              </w:rPr>
              <w:t>付款金额</w:t>
            </w:r>
          </w:p>
        </w:tc>
        <w:tc>
          <w:tcPr>
            <w:tcW w:w="1354" w:type="dxa"/>
            <w:vAlign w:val="center"/>
          </w:tcPr>
          <w:p>
            <w:pPr>
              <w:snapToGrid w:val="0"/>
              <w:spacing w:line="240" w:lineRule="atLeast"/>
              <w:rPr>
                <w:rFonts w:asciiTheme="minorEastAsia" w:hAnsiTheme="minorEastAsia" w:eastAsiaTheme="minorEastAsia"/>
              </w:rPr>
            </w:pPr>
            <w:r>
              <w:rPr>
                <w:rFonts w:hint="eastAsia" w:asciiTheme="minorEastAsia" w:hAnsiTheme="minorEastAsia" w:eastAsiaTheme="minorEastAsia"/>
              </w:rPr>
              <w:t>发票时间</w:t>
            </w:r>
          </w:p>
        </w:tc>
        <w:tc>
          <w:tcPr>
            <w:tcW w:w="1980" w:type="dxa"/>
            <w:vAlign w:val="center"/>
          </w:tcPr>
          <w:p>
            <w:pPr>
              <w:snapToGrid w:val="0"/>
              <w:spacing w:line="240" w:lineRule="atLeast"/>
              <w:rPr>
                <w:rFonts w:asciiTheme="minorEastAsia" w:hAnsiTheme="minorEastAsia" w:eastAsiaTheme="minorEastAsia"/>
              </w:rPr>
            </w:pPr>
            <w:r>
              <w:rPr>
                <w:rFonts w:hint="eastAsia" w:asciiTheme="minorEastAsia" w:hAnsiTheme="minorEastAsia" w:eastAsiaTheme="minorEastAsia"/>
              </w:rPr>
              <w:t>发票号</w:t>
            </w:r>
          </w:p>
        </w:tc>
        <w:tc>
          <w:tcPr>
            <w:tcW w:w="1800" w:type="dxa"/>
            <w:vAlign w:val="center"/>
          </w:tcPr>
          <w:p>
            <w:pPr>
              <w:snapToGrid w:val="0"/>
              <w:spacing w:line="240" w:lineRule="atLeast"/>
              <w:rPr>
                <w:rFonts w:asciiTheme="minorEastAsia" w:hAnsiTheme="minorEastAsia" w:eastAsiaTheme="minorEastAsia"/>
              </w:rPr>
            </w:pPr>
            <w:r>
              <w:rPr>
                <w:rFonts w:hint="eastAsia" w:asciiTheme="minorEastAsia" w:hAnsiTheme="minorEastAsia" w:eastAsiaTheme="minorEastAsia"/>
              </w:rPr>
              <w:t>发票金额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20" w:type="dxa"/>
            <w:vAlign w:val="center"/>
          </w:tcPr>
          <w:p>
            <w:pPr>
              <w:snapToGrid w:val="0"/>
              <w:spacing w:line="240" w:lineRule="atLeast"/>
              <w:rPr>
                <w:rFonts w:asciiTheme="minorEastAsia" w:hAnsiTheme="minorEastAsia" w:eastAsiaTheme="minorEastAsia"/>
              </w:rPr>
            </w:pPr>
          </w:p>
        </w:tc>
        <w:tc>
          <w:tcPr>
            <w:tcW w:w="1058" w:type="dxa"/>
            <w:gridSpan w:val="3"/>
            <w:vAlign w:val="center"/>
          </w:tcPr>
          <w:p>
            <w:pPr>
              <w:snapToGrid w:val="0"/>
              <w:spacing w:line="240" w:lineRule="atLeast"/>
              <w:rPr>
                <w:rFonts w:asciiTheme="minorEastAsia" w:hAnsiTheme="minorEastAsia" w:eastAsiaTheme="minorEastAsia"/>
              </w:rPr>
            </w:pPr>
          </w:p>
        </w:tc>
        <w:tc>
          <w:tcPr>
            <w:tcW w:w="1134" w:type="dxa"/>
            <w:vAlign w:val="center"/>
          </w:tcPr>
          <w:p>
            <w:pPr>
              <w:snapToGrid w:val="0"/>
              <w:spacing w:line="240" w:lineRule="atLeast"/>
              <w:rPr>
                <w:rFonts w:asciiTheme="minorEastAsia" w:hAnsiTheme="minorEastAsia" w:eastAsiaTheme="minorEastAsia"/>
              </w:rPr>
            </w:pPr>
          </w:p>
        </w:tc>
        <w:tc>
          <w:tcPr>
            <w:tcW w:w="1134" w:type="dxa"/>
            <w:vAlign w:val="center"/>
          </w:tcPr>
          <w:p>
            <w:pPr>
              <w:snapToGrid w:val="0"/>
              <w:spacing w:line="240" w:lineRule="atLeast"/>
              <w:rPr>
                <w:rFonts w:asciiTheme="minorEastAsia" w:hAnsiTheme="minorEastAsia" w:eastAsiaTheme="minorEastAsia"/>
              </w:rPr>
            </w:pPr>
          </w:p>
        </w:tc>
        <w:tc>
          <w:tcPr>
            <w:tcW w:w="1354" w:type="dxa"/>
            <w:vAlign w:val="center"/>
          </w:tcPr>
          <w:p>
            <w:pPr>
              <w:snapToGrid w:val="0"/>
              <w:spacing w:line="240" w:lineRule="atLeast"/>
              <w:rPr>
                <w:rFonts w:asciiTheme="minorEastAsia" w:hAnsiTheme="minorEastAsia" w:eastAsiaTheme="minorEastAsia"/>
              </w:rPr>
            </w:pPr>
          </w:p>
        </w:tc>
        <w:tc>
          <w:tcPr>
            <w:tcW w:w="1980" w:type="dxa"/>
            <w:vAlign w:val="center"/>
          </w:tcPr>
          <w:p>
            <w:pPr>
              <w:snapToGrid w:val="0"/>
              <w:spacing w:line="240" w:lineRule="atLeast"/>
              <w:rPr>
                <w:rFonts w:asciiTheme="minorEastAsia" w:hAnsiTheme="minorEastAsia" w:eastAsiaTheme="minorEastAsia"/>
              </w:rPr>
            </w:pPr>
          </w:p>
        </w:tc>
        <w:tc>
          <w:tcPr>
            <w:tcW w:w="1800" w:type="dxa"/>
            <w:vAlign w:val="center"/>
          </w:tcPr>
          <w:p>
            <w:pPr>
              <w:snapToGrid w:val="0"/>
              <w:spacing w:line="240" w:lineRule="atLeas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20" w:type="dxa"/>
            <w:vAlign w:val="center"/>
          </w:tcPr>
          <w:p>
            <w:pPr>
              <w:snapToGrid w:val="0"/>
              <w:spacing w:line="240" w:lineRule="atLeast"/>
              <w:rPr>
                <w:rFonts w:asciiTheme="minorEastAsia" w:hAnsiTheme="minorEastAsia" w:eastAsiaTheme="minorEastAsia"/>
              </w:rPr>
            </w:pPr>
          </w:p>
        </w:tc>
        <w:tc>
          <w:tcPr>
            <w:tcW w:w="1058" w:type="dxa"/>
            <w:gridSpan w:val="3"/>
            <w:vAlign w:val="center"/>
          </w:tcPr>
          <w:p>
            <w:pPr>
              <w:snapToGrid w:val="0"/>
              <w:spacing w:line="240" w:lineRule="atLeast"/>
              <w:rPr>
                <w:rFonts w:asciiTheme="minorEastAsia" w:hAnsiTheme="minorEastAsia" w:eastAsiaTheme="minorEastAsia"/>
              </w:rPr>
            </w:pPr>
          </w:p>
        </w:tc>
        <w:tc>
          <w:tcPr>
            <w:tcW w:w="1134" w:type="dxa"/>
            <w:vAlign w:val="center"/>
          </w:tcPr>
          <w:p>
            <w:pPr>
              <w:snapToGrid w:val="0"/>
              <w:spacing w:line="240" w:lineRule="atLeast"/>
              <w:rPr>
                <w:rFonts w:asciiTheme="minorEastAsia" w:hAnsiTheme="minorEastAsia" w:eastAsiaTheme="minorEastAsia"/>
              </w:rPr>
            </w:pPr>
          </w:p>
        </w:tc>
        <w:tc>
          <w:tcPr>
            <w:tcW w:w="1134" w:type="dxa"/>
            <w:vAlign w:val="center"/>
          </w:tcPr>
          <w:p>
            <w:pPr>
              <w:snapToGrid w:val="0"/>
              <w:spacing w:line="240" w:lineRule="atLeast"/>
              <w:rPr>
                <w:rFonts w:asciiTheme="minorEastAsia" w:hAnsiTheme="minorEastAsia" w:eastAsiaTheme="minorEastAsia"/>
              </w:rPr>
            </w:pPr>
          </w:p>
        </w:tc>
        <w:tc>
          <w:tcPr>
            <w:tcW w:w="1354" w:type="dxa"/>
            <w:vAlign w:val="center"/>
          </w:tcPr>
          <w:p>
            <w:pPr>
              <w:snapToGrid w:val="0"/>
              <w:spacing w:line="240" w:lineRule="atLeast"/>
              <w:rPr>
                <w:rFonts w:asciiTheme="minorEastAsia" w:hAnsiTheme="minorEastAsia" w:eastAsiaTheme="minorEastAsia"/>
              </w:rPr>
            </w:pPr>
          </w:p>
        </w:tc>
        <w:tc>
          <w:tcPr>
            <w:tcW w:w="1980" w:type="dxa"/>
            <w:vAlign w:val="center"/>
          </w:tcPr>
          <w:p>
            <w:pPr>
              <w:snapToGrid w:val="0"/>
              <w:spacing w:line="240" w:lineRule="atLeast"/>
              <w:rPr>
                <w:rFonts w:asciiTheme="minorEastAsia" w:hAnsiTheme="minorEastAsia" w:eastAsiaTheme="minorEastAsia"/>
              </w:rPr>
            </w:pPr>
          </w:p>
        </w:tc>
        <w:tc>
          <w:tcPr>
            <w:tcW w:w="1800" w:type="dxa"/>
            <w:vAlign w:val="center"/>
          </w:tcPr>
          <w:p>
            <w:pPr>
              <w:snapToGrid w:val="0"/>
              <w:spacing w:line="240" w:lineRule="atLeas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20" w:type="dxa"/>
            <w:vAlign w:val="center"/>
          </w:tcPr>
          <w:p>
            <w:pPr>
              <w:snapToGrid w:val="0"/>
              <w:spacing w:line="240" w:lineRule="atLeast"/>
              <w:rPr>
                <w:rFonts w:asciiTheme="minorEastAsia" w:hAnsiTheme="minorEastAsia" w:eastAsiaTheme="minorEastAsia"/>
              </w:rPr>
            </w:pPr>
          </w:p>
        </w:tc>
        <w:tc>
          <w:tcPr>
            <w:tcW w:w="1058" w:type="dxa"/>
            <w:gridSpan w:val="3"/>
            <w:vAlign w:val="center"/>
          </w:tcPr>
          <w:p>
            <w:pPr>
              <w:snapToGrid w:val="0"/>
              <w:spacing w:line="240" w:lineRule="atLeast"/>
              <w:rPr>
                <w:rFonts w:asciiTheme="minorEastAsia" w:hAnsiTheme="minorEastAsia" w:eastAsiaTheme="minorEastAsia"/>
              </w:rPr>
            </w:pPr>
          </w:p>
        </w:tc>
        <w:tc>
          <w:tcPr>
            <w:tcW w:w="1134" w:type="dxa"/>
            <w:vAlign w:val="center"/>
          </w:tcPr>
          <w:p>
            <w:pPr>
              <w:snapToGrid w:val="0"/>
              <w:spacing w:line="240" w:lineRule="atLeast"/>
              <w:rPr>
                <w:rFonts w:asciiTheme="minorEastAsia" w:hAnsiTheme="minorEastAsia" w:eastAsiaTheme="minorEastAsia"/>
              </w:rPr>
            </w:pPr>
          </w:p>
        </w:tc>
        <w:tc>
          <w:tcPr>
            <w:tcW w:w="1134" w:type="dxa"/>
            <w:vAlign w:val="center"/>
          </w:tcPr>
          <w:p>
            <w:pPr>
              <w:snapToGrid w:val="0"/>
              <w:spacing w:line="240" w:lineRule="atLeast"/>
              <w:rPr>
                <w:rFonts w:asciiTheme="minorEastAsia" w:hAnsiTheme="minorEastAsia" w:eastAsiaTheme="minorEastAsia"/>
              </w:rPr>
            </w:pPr>
          </w:p>
        </w:tc>
        <w:tc>
          <w:tcPr>
            <w:tcW w:w="1354" w:type="dxa"/>
            <w:vAlign w:val="center"/>
          </w:tcPr>
          <w:p>
            <w:pPr>
              <w:snapToGrid w:val="0"/>
              <w:spacing w:line="240" w:lineRule="atLeast"/>
              <w:rPr>
                <w:rFonts w:asciiTheme="minorEastAsia" w:hAnsiTheme="minorEastAsia" w:eastAsiaTheme="minorEastAsia"/>
              </w:rPr>
            </w:pPr>
          </w:p>
        </w:tc>
        <w:tc>
          <w:tcPr>
            <w:tcW w:w="1980" w:type="dxa"/>
            <w:vAlign w:val="center"/>
          </w:tcPr>
          <w:p>
            <w:pPr>
              <w:snapToGrid w:val="0"/>
              <w:spacing w:line="240" w:lineRule="atLeast"/>
              <w:rPr>
                <w:rFonts w:asciiTheme="minorEastAsia" w:hAnsiTheme="minorEastAsia" w:eastAsiaTheme="minorEastAsia"/>
              </w:rPr>
            </w:pPr>
          </w:p>
        </w:tc>
        <w:tc>
          <w:tcPr>
            <w:tcW w:w="1800" w:type="dxa"/>
            <w:vAlign w:val="center"/>
          </w:tcPr>
          <w:p>
            <w:pPr>
              <w:snapToGrid w:val="0"/>
              <w:spacing w:line="240" w:lineRule="atLeas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20" w:type="dxa"/>
            <w:vAlign w:val="center"/>
          </w:tcPr>
          <w:p>
            <w:pPr>
              <w:snapToGrid w:val="0"/>
              <w:spacing w:line="240" w:lineRule="atLeast"/>
              <w:rPr>
                <w:rFonts w:asciiTheme="minorEastAsia" w:hAnsiTheme="minorEastAsia" w:eastAsiaTheme="minorEastAsia"/>
              </w:rPr>
            </w:pPr>
          </w:p>
        </w:tc>
        <w:tc>
          <w:tcPr>
            <w:tcW w:w="1058" w:type="dxa"/>
            <w:gridSpan w:val="3"/>
            <w:vAlign w:val="center"/>
          </w:tcPr>
          <w:p>
            <w:pPr>
              <w:snapToGrid w:val="0"/>
              <w:spacing w:line="240" w:lineRule="atLeast"/>
              <w:rPr>
                <w:rFonts w:asciiTheme="minorEastAsia" w:hAnsiTheme="minorEastAsia" w:eastAsiaTheme="minorEastAsia"/>
              </w:rPr>
            </w:pPr>
          </w:p>
        </w:tc>
        <w:tc>
          <w:tcPr>
            <w:tcW w:w="1134" w:type="dxa"/>
            <w:vAlign w:val="center"/>
          </w:tcPr>
          <w:p>
            <w:pPr>
              <w:snapToGrid w:val="0"/>
              <w:spacing w:line="240" w:lineRule="atLeast"/>
              <w:rPr>
                <w:rFonts w:asciiTheme="minorEastAsia" w:hAnsiTheme="minorEastAsia" w:eastAsiaTheme="minorEastAsia"/>
              </w:rPr>
            </w:pPr>
          </w:p>
        </w:tc>
        <w:tc>
          <w:tcPr>
            <w:tcW w:w="1134" w:type="dxa"/>
            <w:vAlign w:val="center"/>
          </w:tcPr>
          <w:p>
            <w:pPr>
              <w:snapToGrid w:val="0"/>
              <w:spacing w:line="240" w:lineRule="atLeast"/>
              <w:rPr>
                <w:rFonts w:asciiTheme="minorEastAsia" w:hAnsiTheme="minorEastAsia" w:eastAsiaTheme="minorEastAsia"/>
              </w:rPr>
            </w:pPr>
          </w:p>
        </w:tc>
        <w:tc>
          <w:tcPr>
            <w:tcW w:w="1354" w:type="dxa"/>
            <w:vAlign w:val="center"/>
          </w:tcPr>
          <w:p>
            <w:pPr>
              <w:snapToGrid w:val="0"/>
              <w:spacing w:line="240" w:lineRule="atLeast"/>
              <w:rPr>
                <w:rFonts w:asciiTheme="minorEastAsia" w:hAnsiTheme="minorEastAsia" w:eastAsiaTheme="minorEastAsia"/>
              </w:rPr>
            </w:pPr>
          </w:p>
        </w:tc>
        <w:tc>
          <w:tcPr>
            <w:tcW w:w="1980" w:type="dxa"/>
            <w:vAlign w:val="center"/>
          </w:tcPr>
          <w:p>
            <w:pPr>
              <w:snapToGrid w:val="0"/>
              <w:spacing w:line="240" w:lineRule="atLeast"/>
              <w:rPr>
                <w:rFonts w:asciiTheme="minorEastAsia" w:hAnsiTheme="minorEastAsia" w:eastAsiaTheme="minorEastAsia"/>
              </w:rPr>
            </w:pPr>
          </w:p>
        </w:tc>
        <w:tc>
          <w:tcPr>
            <w:tcW w:w="1800" w:type="dxa"/>
            <w:vAlign w:val="center"/>
          </w:tcPr>
          <w:p>
            <w:pPr>
              <w:snapToGrid w:val="0"/>
              <w:spacing w:line="240" w:lineRule="atLeas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20" w:type="dxa"/>
            <w:vAlign w:val="center"/>
          </w:tcPr>
          <w:p>
            <w:pPr>
              <w:snapToGrid w:val="0"/>
              <w:spacing w:line="240" w:lineRule="atLeast"/>
              <w:rPr>
                <w:rFonts w:asciiTheme="minorEastAsia" w:hAnsiTheme="minorEastAsia" w:eastAsiaTheme="minorEastAsia"/>
              </w:rPr>
            </w:pPr>
          </w:p>
        </w:tc>
        <w:tc>
          <w:tcPr>
            <w:tcW w:w="1058" w:type="dxa"/>
            <w:gridSpan w:val="3"/>
            <w:vAlign w:val="center"/>
          </w:tcPr>
          <w:p>
            <w:pPr>
              <w:snapToGrid w:val="0"/>
              <w:spacing w:line="240" w:lineRule="atLeast"/>
              <w:rPr>
                <w:rFonts w:asciiTheme="minorEastAsia" w:hAnsiTheme="minorEastAsia" w:eastAsiaTheme="minorEastAsia"/>
              </w:rPr>
            </w:pPr>
          </w:p>
        </w:tc>
        <w:tc>
          <w:tcPr>
            <w:tcW w:w="1134" w:type="dxa"/>
            <w:vAlign w:val="center"/>
          </w:tcPr>
          <w:p>
            <w:pPr>
              <w:snapToGrid w:val="0"/>
              <w:spacing w:line="240" w:lineRule="atLeast"/>
              <w:rPr>
                <w:rFonts w:asciiTheme="minorEastAsia" w:hAnsiTheme="minorEastAsia" w:eastAsiaTheme="minorEastAsia"/>
              </w:rPr>
            </w:pPr>
          </w:p>
        </w:tc>
        <w:tc>
          <w:tcPr>
            <w:tcW w:w="1134" w:type="dxa"/>
            <w:vAlign w:val="center"/>
          </w:tcPr>
          <w:p>
            <w:pPr>
              <w:snapToGrid w:val="0"/>
              <w:spacing w:line="240" w:lineRule="atLeast"/>
              <w:rPr>
                <w:rFonts w:asciiTheme="minorEastAsia" w:hAnsiTheme="minorEastAsia" w:eastAsiaTheme="minorEastAsia"/>
              </w:rPr>
            </w:pPr>
          </w:p>
        </w:tc>
        <w:tc>
          <w:tcPr>
            <w:tcW w:w="1354" w:type="dxa"/>
            <w:vAlign w:val="center"/>
          </w:tcPr>
          <w:p>
            <w:pPr>
              <w:snapToGrid w:val="0"/>
              <w:spacing w:line="240" w:lineRule="atLeast"/>
              <w:rPr>
                <w:rFonts w:asciiTheme="minorEastAsia" w:hAnsiTheme="minorEastAsia" w:eastAsiaTheme="minorEastAsia"/>
              </w:rPr>
            </w:pPr>
          </w:p>
        </w:tc>
        <w:tc>
          <w:tcPr>
            <w:tcW w:w="1980" w:type="dxa"/>
            <w:vAlign w:val="center"/>
          </w:tcPr>
          <w:p>
            <w:pPr>
              <w:snapToGrid w:val="0"/>
              <w:spacing w:line="240" w:lineRule="atLeast"/>
              <w:rPr>
                <w:rFonts w:asciiTheme="minorEastAsia" w:hAnsiTheme="minorEastAsia" w:eastAsiaTheme="minorEastAsia"/>
              </w:rPr>
            </w:pPr>
          </w:p>
        </w:tc>
        <w:tc>
          <w:tcPr>
            <w:tcW w:w="1800" w:type="dxa"/>
            <w:vAlign w:val="center"/>
          </w:tcPr>
          <w:p>
            <w:pPr>
              <w:snapToGrid w:val="0"/>
              <w:spacing w:line="240" w:lineRule="atLeas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20" w:type="dxa"/>
            <w:vAlign w:val="center"/>
          </w:tcPr>
          <w:p>
            <w:pPr>
              <w:snapToGrid w:val="0"/>
              <w:spacing w:line="240" w:lineRule="atLeast"/>
              <w:rPr>
                <w:rFonts w:asciiTheme="minorEastAsia" w:hAnsiTheme="minorEastAsia" w:eastAsiaTheme="minorEastAsia"/>
              </w:rPr>
            </w:pPr>
          </w:p>
        </w:tc>
        <w:tc>
          <w:tcPr>
            <w:tcW w:w="1058" w:type="dxa"/>
            <w:gridSpan w:val="3"/>
            <w:vAlign w:val="center"/>
          </w:tcPr>
          <w:p>
            <w:pPr>
              <w:snapToGrid w:val="0"/>
              <w:spacing w:line="240" w:lineRule="atLeast"/>
              <w:rPr>
                <w:rFonts w:asciiTheme="minorEastAsia" w:hAnsiTheme="minorEastAsia" w:eastAsiaTheme="minorEastAsia"/>
              </w:rPr>
            </w:pPr>
          </w:p>
        </w:tc>
        <w:tc>
          <w:tcPr>
            <w:tcW w:w="1134" w:type="dxa"/>
            <w:vAlign w:val="center"/>
          </w:tcPr>
          <w:p>
            <w:pPr>
              <w:snapToGrid w:val="0"/>
              <w:spacing w:line="240" w:lineRule="atLeast"/>
              <w:rPr>
                <w:rFonts w:asciiTheme="minorEastAsia" w:hAnsiTheme="minorEastAsia" w:eastAsiaTheme="minorEastAsia"/>
              </w:rPr>
            </w:pPr>
          </w:p>
        </w:tc>
        <w:tc>
          <w:tcPr>
            <w:tcW w:w="1134" w:type="dxa"/>
            <w:vAlign w:val="center"/>
          </w:tcPr>
          <w:p>
            <w:pPr>
              <w:snapToGrid w:val="0"/>
              <w:spacing w:line="240" w:lineRule="atLeast"/>
              <w:rPr>
                <w:rFonts w:asciiTheme="minorEastAsia" w:hAnsiTheme="minorEastAsia" w:eastAsiaTheme="minorEastAsia"/>
              </w:rPr>
            </w:pPr>
          </w:p>
        </w:tc>
        <w:tc>
          <w:tcPr>
            <w:tcW w:w="1354" w:type="dxa"/>
            <w:vAlign w:val="center"/>
          </w:tcPr>
          <w:p>
            <w:pPr>
              <w:snapToGrid w:val="0"/>
              <w:spacing w:line="240" w:lineRule="atLeast"/>
              <w:rPr>
                <w:rFonts w:asciiTheme="minorEastAsia" w:hAnsiTheme="minorEastAsia" w:eastAsiaTheme="minorEastAsia"/>
              </w:rPr>
            </w:pPr>
          </w:p>
        </w:tc>
        <w:tc>
          <w:tcPr>
            <w:tcW w:w="1980" w:type="dxa"/>
            <w:vAlign w:val="center"/>
          </w:tcPr>
          <w:p>
            <w:pPr>
              <w:snapToGrid w:val="0"/>
              <w:spacing w:line="240" w:lineRule="atLeast"/>
              <w:rPr>
                <w:rFonts w:asciiTheme="minorEastAsia" w:hAnsiTheme="minorEastAsia" w:eastAsiaTheme="minorEastAsia"/>
              </w:rPr>
            </w:pPr>
          </w:p>
        </w:tc>
        <w:tc>
          <w:tcPr>
            <w:tcW w:w="1800" w:type="dxa"/>
            <w:vAlign w:val="center"/>
          </w:tcPr>
          <w:p>
            <w:pPr>
              <w:snapToGrid w:val="0"/>
              <w:spacing w:line="240" w:lineRule="atLeas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20" w:type="dxa"/>
            <w:vAlign w:val="center"/>
          </w:tcPr>
          <w:p>
            <w:pPr>
              <w:snapToGrid w:val="0"/>
              <w:spacing w:line="240" w:lineRule="atLeast"/>
              <w:rPr>
                <w:rFonts w:asciiTheme="minorEastAsia" w:hAnsiTheme="minorEastAsia" w:eastAsiaTheme="minorEastAsia"/>
              </w:rPr>
            </w:pPr>
          </w:p>
        </w:tc>
        <w:tc>
          <w:tcPr>
            <w:tcW w:w="1058" w:type="dxa"/>
            <w:gridSpan w:val="3"/>
            <w:vAlign w:val="center"/>
          </w:tcPr>
          <w:p>
            <w:pPr>
              <w:snapToGrid w:val="0"/>
              <w:spacing w:line="240" w:lineRule="atLeast"/>
              <w:rPr>
                <w:rFonts w:asciiTheme="minorEastAsia" w:hAnsiTheme="minorEastAsia" w:eastAsiaTheme="minorEastAsia"/>
              </w:rPr>
            </w:pPr>
          </w:p>
        </w:tc>
        <w:tc>
          <w:tcPr>
            <w:tcW w:w="1134" w:type="dxa"/>
            <w:vAlign w:val="center"/>
          </w:tcPr>
          <w:p>
            <w:pPr>
              <w:snapToGrid w:val="0"/>
              <w:spacing w:line="240" w:lineRule="atLeast"/>
              <w:rPr>
                <w:rFonts w:asciiTheme="minorEastAsia" w:hAnsiTheme="minorEastAsia" w:eastAsiaTheme="minorEastAsia"/>
              </w:rPr>
            </w:pPr>
          </w:p>
        </w:tc>
        <w:tc>
          <w:tcPr>
            <w:tcW w:w="1134" w:type="dxa"/>
            <w:vAlign w:val="center"/>
          </w:tcPr>
          <w:p>
            <w:pPr>
              <w:snapToGrid w:val="0"/>
              <w:spacing w:line="240" w:lineRule="atLeast"/>
              <w:rPr>
                <w:rFonts w:asciiTheme="minorEastAsia" w:hAnsiTheme="minorEastAsia" w:eastAsiaTheme="minorEastAsia"/>
              </w:rPr>
            </w:pPr>
          </w:p>
        </w:tc>
        <w:tc>
          <w:tcPr>
            <w:tcW w:w="1354" w:type="dxa"/>
            <w:vAlign w:val="center"/>
          </w:tcPr>
          <w:p>
            <w:pPr>
              <w:snapToGrid w:val="0"/>
              <w:spacing w:line="240" w:lineRule="atLeast"/>
              <w:rPr>
                <w:rFonts w:asciiTheme="minorEastAsia" w:hAnsiTheme="minorEastAsia" w:eastAsiaTheme="minorEastAsia"/>
              </w:rPr>
            </w:pPr>
          </w:p>
        </w:tc>
        <w:tc>
          <w:tcPr>
            <w:tcW w:w="1980" w:type="dxa"/>
            <w:vAlign w:val="center"/>
          </w:tcPr>
          <w:p>
            <w:pPr>
              <w:snapToGrid w:val="0"/>
              <w:spacing w:line="240" w:lineRule="atLeast"/>
              <w:rPr>
                <w:rFonts w:asciiTheme="minorEastAsia" w:hAnsiTheme="minorEastAsia" w:eastAsiaTheme="minorEastAsia"/>
              </w:rPr>
            </w:pPr>
          </w:p>
        </w:tc>
        <w:tc>
          <w:tcPr>
            <w:tcW w:w="1800" w:type="dxa"/>
            <w:vAlign w:val="center"/>
          </w:tcPr>
          <w:p>
            <w:pPr>
              <w:snapToGrid w:val="0"/>
              <w:spacing w:line="240" w:lineRule="atLeas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20" w:type="dxa"/>
            <w:vAlign w:val="center"/>
          </w:tcPr>
          <w:p>
            <w:pPr>
              <w:snapToGrid w:val="0"/>
              <w:spacing w:line="240" w:lineRule="atLeast"/>
              <w:rPr>
                <w:rFonts w:asciiTheme="minorEastAsia" w:hAnsiTheme="minorEastAsia" w:eastAsiaTheme="minorEastAsia"/>
              </w:rPr>
            </w:pPr>
          </w:p>
        </w:tc>
        <w:tc>
          <w:tcPr>
            <w:tcW w:w="1058" w:type="dxa"/>
            <w:gridSpan w:val="3"/>
            <w:vAlign w:val="center"/>
          </w:tcPr>
          <w:p>
            <w:pPr>
              <w:snapToGrid w:val="0"/>
              <w:spacing w:line="240" w:lineRule="atLeast"/>
              <w:rPr>
                <w:rFonts w:asciiTheme="minorEastAsia" w:hAnsiTheme="minorEastAsia" w:eastAsiaTheme="minorEastAsia"/>
              </w:rPr>
            </w:pPr>
          </w:p>
        </w:tc>
        <w:tc>
          <w:tcPr>
            <w:tcW w:w="1134" w:type="dxa"/>
            <w:vAlign w:val="center"/>
          </w:tcPr>
          <w:p>
            <w:pPr>
              <w:snapToGrid w:val="0"/>
              <w:spacing w:line="240" w:lineRule="atLeast"/>
              <w:rPr>
                <w:rFonts w:asciiTheme="minorEastAsia" w:hAnsiTheme="minorEastAsia" w:eastAsiaTheme="minorEastAsia"/>
              </w:rPr>
            </w:pPr>
          </w:p>
        </w:tc>
        <w:tc>
          <w:tcPr>
            <w:tcW w:w="1134" w:type="dxa"/>
            <w:vAlign w:val="center"/>
          </w:tcPr>
          <w:p>
            <w:pPr>
              <w:snapToGrid w:val="0"/>
              <w:spacing w:line="240" w:lineRule="atLeast"/>
              <w:rPr>
                <w:rFonts w:asciiTheme="minorEastAsia" w:hAnsiTheme="minorEastAsia" w:eastAsiaTheme="minorEastAsia"/>
              </w:rPr>
            </w:pPr>
          </w:p>
        </w:tc>
        <w:tc>
          <w:tcPr>
            <w:tcW w:w="1354" w:type="dxa"/>
            <w:vAlign w:val="center"/>
          </w:tcPr>
          <w:p>
            <w:pPr>
              <w:snapToGrid w:val="0"/>
              <w:spacing w:line="240" w:lineRule="atLeast"/>
              <w:rPr>
                <w:rFonts w:asciiTheme="minorEastAsia" w:hAnsiTheme="minorEastAsia" w:eastAsiaTheme="minorEastAsia"/>
              </w:rPr>
            </w:pPr>
          </w:p>
        </w:tc>
        <w:tc>
          <w:tcPr>
            <w:tcW w:w="1980" w:type="dxa"/>
            <w:vAlign w:val="center"/>
          </w:tcPr>
          <w:p>
            <w:pPr>
              <w:snapToGrid w:val="0"/>
              <w:spacing w:line="240" w:lineRule="atLeast"/>
              <w:rPr>
                <w:rFonts w:asciiTheme="minorEastAsia" w:hAnsiTheme="minorEastAsia" w:eastAsiaTheme="minorEastAsia"/>
              </w:rPr>
            </w:pPr>
          </w:p>
        </w:tc>
        <w:tc>
          <w:tcPr>
            <w:tcW w:w="1800" w:type="dxa"/>
            <w:vAlign w:val="center"/>
          </w:tcPr>
          <w:p>
            <w:pPr>
              <w:snapToGrid w:val="0"/>
              <w:spacing w:line="240" w:lineRule="atLeas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20" w:type="dxa"/>
            <w:vAlign w:val="center"/>
          </w:tcPr>
          <w:p>
            <w:pPr>
              <w:snapToGrid w:val="0"/>
              <w:spacing w:line="240" w:lineRule="atLeast"/>
              <w:rPr>
                <w:rFonts w:asciiTheme="minorEastAsia" w:hAnsiTheme="minorEastAsia" w:eastAsiaTheme="minorEastAsia"/>
              </w:rPr>
            </w:pPr>
          </w:p>
        </w:tc>
        <w:tc>
          <w:tcPr>
            <w:tcW w:w="1058" w:type="dxa"/>
            <w:gridSpan w:val="3"/>
            <w:vAlign w:val="center"/>
          </w:tcPr>
          <w:p>
            <w:pPr>
              <w:snapToGrid w:val="0"/>
              <w:spacing w:line="240" w:lineRule="atLeast"/>
              <w:rPr>
                <w:rFonts w:asciiTheme="minorEastAsia" w:hAnsiTheme="minorEastAsia" w:eastAsiaTheme="minorEastAsia"/>
              </w:rPr>
            </w:pPr>
          </w:p>
        </w:tc>
        <w:tc>
          <w:tcPr>
            <w:tcW w:w="1134" w:type="dxa"/>
            <w:vAlign w:val="center"/>
          </w:tcPr>
          <w:p>
            <w:pPr>
              <w:snapToGrid w:val="0"/>
              <w:spacing w:line="240" w:lineRule="atLeast"/>
              <w:rPr>
                <w:rFonts w:asciiTheme="minorEastAsia" w:hAnsiTheme="minorEastAsia" w:eastAsiaTheme="minorEastAsia"/>
              </w:rPr>
            </w:pPr>
          </w:p>
        </w:tc>
        <w:tc>
          <w:tcPr>
            <w:tcW w:w="1134" w:type="dxa"/>
            <w:vAlign w:val="center"/>
          </w:tcPr>
          <w:p>
            <w:pPr>
              <w:snapToGrid w:val="0"/>
              <w:spacing w:line="240" w:lineRule="atLeast"/>
              <w:rPr>
                <w:rFonts w:asciiTheme="minorEastAsia" w:hAnsiTheme="minorEastAsia" w:eastAsiaTheme="minorEastAsia"/>
              </w:rPr>
            </w:pPr>
          </w:p>
        </w:tc>
        <w:tc>
          <w:tcPr>
            <w:tcW w:w="1354" w:type="dxa"/>
            <w:vAlign w:val="center"/>
          </w:tcPr>
          <w:p>
            <w:pPr>
              <w:snapToGrid w:val="0"/>
              <w:spacing w:line="240" w:lineRule="atLeast"/>
              <w:rPr>
                <w:rFonts w:asciiTheme="minorEastAsia" w:hAnsiTheme="minorEastAsia" w:eastAsiaTheme="minorEastAsia"/>
              </w:rPr>
            </w:pPr>
          </w:p>
        </w:tc>
        <w:tc>
          <w:tcPr>
            <w:tcW w:w="1980" w:type="dxa"/>
            <w:vAlign w:val="center"/>
          </w:tcPr>
          <w:p>
            <w:pPr>
              <w:snapToGrid w:val="0"/>
              <w:spacing w:line="240" w:lineRule="atLeast"/>
              <w:rPr>
                <w:rFonts w:asciiTheme="minorEastAsia" w:hAnsiTheme="minorEastAsia" w:eastAsiaTheme="minorEastAsia"/>
              </w:rPr>
            </w:pPr>
          </w:p>
        </w:tc>
        <w:tc>
          <w:tcPr>
            <w:tcW w:w="1800" w:type="dxa"/>
            <w:vAlign w:val="center"/>
          </w:tcPr>
          <w:p>
            <w:pPr>
              <w:snapToGrid w:val="0"/>
              <w:spacing w:line="240" w:lineRule="atLeas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20" w:type="dxa"/>
            <w:vAlign w:val="center"/>
          </w:tcPr>
          <w:p>
            <w:pPr>
              <w:snapToGrid w:val="0"/>
              <w:spacing w:line="240" w:lineRule="atLeast"/>
            </w:pPr>
          </w:p>
        </w:tc>
        <w:tc>
          <w:tcPr>
            <w:tcW w:w="1058" w:type="dxa"/>
            <w:gridSpan w:val="3"/>
            <w:vAlign w:val="center"/>
          </w:tcPr>
          <w:p>
            <w:pPr>
              <w:snapToGrid w:val="0"/>
              <w:spacing w:line="240" w:lineRule="atLeast"/>
            </w:pPr>
          </w:p>
        </w:tc>
        <w:tc>
          <w:tcPr>
            <w:tcW w:w="1134" w:type="dxa"/>
            <w:vAlign w:val="center"/>
          </w:tcPr>
          <w:p>
            <w:pPr>
              <w:snapToGrid w:val="0"/>
              <w:spacing w:line="240" w:lineRule="atLeast"/>
            </w:pPr>
          </w:p>
        </w:tc>
        <w:tc>
          <w:tcPr>
            <w:tcW w:w="1134" w:type="dxa"/>
            <w:vAlign w:val="center"/>
          </w:tcPr>
          <w:p>
            <w:pPr>
              <w:snapToGrid w:val="0"/>
              <w:spacing w:line="240" w:lineRule="atLeast"/>
            </w:pPr>
          </w:p>
        </w:tc>
        <w:tc>
          <w:tcPr>
            <w:tcW w:w="1354" w:type="dxa"/>
            <w:vAlign w:val="center"/>
          </w:tcPr>
          <w:p>
            <w:pPr>
              <w:snapToGrid w:val="0"/>
              <w:spacing w:line="240" w:lineRule="atLeast"/>
            </w:pPr>
          </w:p>
        </w:tc>
        <w:tc>
          <w:tcPr>
            <w:tcW w:w="1980" w:type="dxa"/>
            <w:vAlign w:val="center"/>
          </w:tcPr>
          <w:p>
            <w:pPr>
              <w:snapToGrid w:val="0"/>
              <w:spacing w:line="240" w:lineRule="atLeast"/>
            </w:pPr>
          </w:p>
        </w:tc>
        <w:tc>
          <w:tcPr>
            <w:tcW w:w="1800" w:type="dxa"/>
            <w:vAlign w:val="center"/>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20" w:type="dxa"/>
            <w:vAlign w:val="center"/>
          </w:tcPr>
          <w:p>
            <w:pPr>
              <w:snapToGrid w:val="0"/>
              <w:spacing w:line="240" w:lineRule="atLeast"/>
            </w:pPr>
          </w:p>
        </w:tc>
        <w:tc>
          <w:tcPr>
            <w:tcW w:w="1058" w:type="dxa"/>
            <w:gridSpan w:val="3"/>
            <w:vAlign w:val="center"/>
          </w:tcPr>
          <w:p>
            <w:pPr>
              <w:snapToGrid w:val="0"/>
              <w:spacing w:line="240" w:lineRule="atLeast"/>
            </w:pPr>
          </w:p>
        </w:tc>
        <w:tc>
          <w:tcPr>
            <w:tcW w:w="1134" w:type="dxa"/>
            <w:vAlign w:val="center"/>
          </w:tcPr>
          <w:p>
            <w:pPr>
              <w:snapToGrid w:val="0"/>
              <w:spacing w:line="240" w:lineRule="atLeast"/>
            </w:pPr>
          </w:p>
        </w:tc>
        <w:tc>
          <w:tcPr>
            <w:tcW w:w="1134" w:type="dxa"/>
            <w:vAlign w:val="center"/>
          </w:tcPr>
          <w:p>
            <w:pPr>
              <w:snapToGrid w:val="0"/>
              <w:spacing w:line="240" w:lineRule="atLeast"/>
            </w:pPr>
          </w:p>
        </w:tc>
        <w:tc>
          <w:tcPr>
            <w:tcW w:w="1354" w:type="dxa"/>
            <w:vAlign w:val="center"/>
          </w:tcPr>
          <w:p>
            <w:pPr>
              <w:snapToGrid w:val="0"/>
              <w:spacing w:line="240" w:lineRule="atLeast"/>
            </w:pPr>
          </w:p>
        </w:tc>
        <w:tc>
          <w:tcPr>
            <w:tcW w:w="1980" w:type="dxa"/>
            <w:vAlign w:val="center"/>
          </w:tcPr>
          <w:p>
            <w:pPr>
              <w:snapToGrid w:val="0"/>
              <w:spacing w:line="240" w:lineRule="atLeast"/>
            </w:pPr>
          </w:p>
        </w:tc>
        <w:tc>
          <w:tcPr>
            <w:tcW w:w="1800" w:type="dxa"/>
            <w:vAlign w:val="center"/>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20" w:type="dxa"/>
            <w:vAlign w:val="center"/>
          </w:tcPr>
          <w:p>
            <w:pPr>
              <w:snapToGrid w:val="0"/>
              <w:spacing w:line="240" w:lineRule="atLeast"/>
            </w:pPr>
          </w:p>
        </w:tc>
        <w:tc>
          <w:tcPr>
            <w:tcW w:w="1058" w:type="dxa"/>
            <w:gridSpan w:val="3"/>
            <w:vAlign w:val="center"/>
          </w:tcPr>
          <w:p>
            <w:pPr>
              <w:snapToGrid w:val="0"/>
              <w:spacing w:line="240" w:lineRule="atLeast"/>
            </w:pPr>
          </w:p>
        </w:tc>
        <w:tc>
          <w:tcPr>
            <w:tcW w:w="1134" w:type="dxa"/>
            <w:vAlign w:val="center"/>
          </w:tcPr>
          <w:p>
            <w:pPr>
              <w:snapToGrid w:val="0"/>
              <w:spacing w:line="240" w:lineRule="atLeast"/>
            </w:pPr>
          </w:p>
        </w:tc>
        <w:tc>
          <w:tcPr>
            <w:tcW w:w="1134" w:type="dxa"/>
            <w:vAlign w:val="center"/>
          </w:tcPr>
          <w:p>
            <w:pPr>
              <w:snapToGrid w:val="0"/>
              <w:spacing w:line="240" w:lineRule="atLeast"/>
            </w:pPr>
          </w:p>
        </w:tc>
        <w:tc>
          <w:tcPr>
            <w:tcW w:w="1354" w:type="dxa"/>
            <w:vAlign w:val="center"/>
          </w:tcPr>
          <w:p>
            <w:pPr>
              <w:snapToGrid w:val="0"/>
              <w:spacing w:line="240" w:lineRule="atLeast"/>
            </w:pPr>
          </w:p>
        </w:tc>
        <w:tc>
          <w:tcPr>
            <w:tcW w:w="1980" w:type="dxa"/>
            <w:vAlign w:val="center"/>
          </w:tcPr>
          <w:p>
            <w:pPr>
              <w:snapToGrid w:val="0"/>
              <w:spacing w:line="240" w:lineRule="atLeast"/>
            </w:pPr>
          </w:p>
        </w:tc>
        <w:tc>
          <w:tcPr>
            <w:tcW w:w="1800" w:type="dxa"/>
            <w:vAlign w:val="center"/>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380" w:type="dxa"/>
            <w:gridSpan w:val="8"/>
          </w:tcPr>
          <w:p>
            <w:pPr>
              <w:snapToGrid w:val="0"/>
              <w:spacing w:line="240" w:lineRule="atLeast"/>
              <w:jc w:val="center"/>
            </w:pPr>
            <w:r>
              <w:rPr>
                <w:rFonts w:hint="eastAsia"/>
              </w:rPr>
              <w:t>金额合计</w:t>
            </w:r>
          </w:p>
        </w:tc>
        <w:tc>
          <w:tcPr>
            <w:tcW w:w="1800" w:type="dxa"/>
          </w:tcPr>
          <w:p>
            <w:pPr>
              <w:snapToGrid w:val="0"/>
              <w:spacing w:line="240" w:lineRule="atLeast"/>
            </w:pPr>
          </w:p>
        </w:tc>
      </w:tr>
    </w:tbl>
    <w:p>
      <w:pPr>
        <w:rPr>
          <w:rFonts w:ascii="宋体" w:hAnsi="宋体"/>
          <w:color w:val="000000"/>
          <w:szCs w:val="21"/>
        </w:rPr>
      </w:pPr>
      <w:r>
        <w:rPr>
          <w:rFonts w:hint="eastAsia" w:ascii="宋体" w:hAnsi="宋体"/>
          <w:szCs w:val="21"/>
        </w:rPr>
        <w:t>说明：</w:t>
      </w:r>
      <w:r>
        <w:rPr>
          <w:rFonts w:ascii="宋体" w:hAnsi="宋体"/>
          <w:szCs w:val="21"/>
        </w:rPr>
        <w:t>1</w:t>
      </w:r>
      <w:r>
        <w:rPr>
          <w:rFonts w:hint="eastAsia" w:ascii="宋体" w:hAnsi="宋体"/>
          <w:szCs w:val="21"/>
        </w:rPr>
        <w:t>、以上表格请按费用发生的时间先后顺序填写，并将附件证明材料按对应顺序整理编号；</w:t>
      </w:r>
      <w:r>
        <w:rPr>
          <w:rFonts w:ascii="宋体" w:hAnsi="宋体"/>
          <w:szCs w:val="21"/>
        </w:rPr>
        <w:t>2</w:t>
      </w:r>
      <w:r>
        <w:rPr>
          <w:rFonts w:hint="eastAsia" w:ascii="宋体" w:hAnsi="宋体"/>
          <w:szCs w:val="21"/>
        </w:rPr>
        <w:t>、发票及金额信息请按照发票实际内容填写；</w:t>
      </w:r>
      <w:r>
        <w:rPr>
          <w:rFonts w:ascii="宋体" w:hAnsi="宋体"/>
          <w:szCs w:val="21"/>
        </w:rPr>
        <w:t>3</w:t>
      </w:r>
      <w:r>
        <w:rPr>
          <w:rFonts w:hint="eastAsia" w:ascii="宋体" w:hAnsi="宋体"/>
          <w:szCs w:val="21"/>
        </w:rPr>
        <w:t>、原则上每一张发票填写一行，若开具的为小额发票且发票号为连号，可合并填写。</w:t>
      </w: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spacing w:line="580" w:lineRule="exact"/>
        <w:rPr>
          <w:rFonts w:ascii="仿宋_GB2312" w:eastAsia="仿宋_GB2312"/>
          <w:color w:val="000000"/>
          <w:sz w:val="32"/>
          <w:szCs w:val="32"/>
        </w:rPr>
      </w:pPr>
    </w:p>
    <w:sectPr>
      <w:pgSz w:w="11906" w:h="16838"/>
      <w:pgMar w:top="1440" w:right="1361" w:bottom="1440" w:left="158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E330DB"/>
    <w:multiLevelType w:val="multilevel"/>
    <w:tmpl w:val="67E330DB"/>
    <w:lvl w:ilvl="0" w:tentative="0">
      <w:start w:val="1"/>
      <w:numFmt w:val="decimal"/>
      <w:lvlText w:val="%1、"/>
      <w:lvlJc w:val="left"/>
      <w:pPr>
        <w:tabs>
          <w:tab w:val="left" w:pos="680"/>
        </w:tabs>
        <w:ind w:left="0" w:firstLine="680"/>
      </w:pPr>
      <w:rPr>
        <w:rFonts w:hint="default"/>
      </w:rPr>
    </w:lvl>
    <w:lvl w:ilvl="1" w:tentative="0">
      <w:start w:val="1"/>
      <w:numFmt w:val="decimal"/>
      <w:lvlText w:val="%2、"/>
      <w:lvlJc w:val="left"/>
      <w:pPr>
        <w:tabs>
          <w:tab w:val="left" w:pos="420"/>
        </w:tabs>
        <w:ind w:left="0" w:firstLine="680"/>
      </w:pPr>
      <w:rPr>
        <w:rFonts w:hint="default"/>
      </w:rPr>
    </w:lvl>
    <w:lvl w:ilvl="2" w:tentative="0">
      <w:start w:val="1"/>
      <w:numFmt w:val="japaneseCounting"/>
      <w:lvlText w:val="（%3）"/>
      <w:lvlJc w:val="left"/>
      <w:pPr>
        <w:tabs>
          <w:tab w:val="left" w:pos="2415"/>
        </w:tabs>
        <w:ind w:left="2415" w:hanging="1575"/>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6271193"/>
    <w:multiLevelType w:val="multilevel"/>
    <w:tmpl w:val="76271193"/>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revisionView w:markup="0"/>
  <w:trackRevisions w:val="1"/>
  <w:documentProtection w:enforcement="0"/>
  <w:defaultTabStop w:val="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56"/>
    <w:rsid w:val="000126B5"/>
    <w:rsid w:val="00016FC8"/>
    <w:rsid w:val="00040390"/>
    <w:rsid w:val="0004174C"/>
    <w:rsid w:val="0004502A"/>
    <w:rsid w:val="000775B0"/>
    <w:rsid w:val="00093DFE"/>
    <w:rsid w:val="00097A28"/>
    <w:rsid w:val="000C04BF"/>
    <w:rsid w:val="000C30A6"/>
    <w:rsid w:val="000D11D6"/>
    <w:rsid w:val="000D407D"/>
    <w:rsid w:val="000D59D9"/>
    <w:rsid w:val="000E2658"/>
    <w:rsid w:val="000F176E"/>
    <w:rsid w:val="00100DBA"/>
    <w:rsid w:val="001038D2"/>
    <w:rsid w:val="00120125"/>
    <w:rsid w:val="0012518B"/>
    <w:rsid w:val="00141269"/>
    <w:rsid w:val="0014301A"/>
    <w:rsid w:val="00147FFE"/>
    <w:rsid w:val="00152A2F"/>
    <w:rsid w:val="00155022"/>
    <w:rsid w:val="00172A27"/>
    <w:rsid w:val="001869D3"/>
    <w:rsid w:val="00194AAD"/>
    <w:rsid w:val="001A0E35"/>
    <w:rsid w:val="001A6FA0"/>
    <w:rsid w:val="001B01E5"/>
    <w:rsid w:val="001B21FB"/>
    <w:rsid w:val="001B4BD1"/>
    <w:rsid w:val="001B72CF"/>
    <w:rsid w:val="001D1ECF"/>
    <w:rsid w:val="001E0B7B"/>
    <w:rsid w:val="001F048A"/>
    <w:rsid w:val="001F17B3"/>
    <w:rsid w:val="001F6E84"/>
    <w:rsid w:val="002002A6"/>
    <w:rsid w:val="00200514"/>
    <w:rsid w:val="0020313D"/>
    <w:rsid w:val="00203898"/>
    <w:rsid w:val="002125CD"/>
    <w:rsid w:val="00214B06"/>
    <w:rsid w:val="002157B4"/>
    <w:rsid w:val="00225B30"/>
    <w:rsid w:val="00240F47"/>
    <w:rsid w:val="00243F93"/>
    <w:rsid w:val="0025120E"/>
    <w:rsid w:val="002556A3"/>
    <w:rsid w:val="00263A7A"/>
    <w:rsid w:val="0028667C"/>
    <w:rsid w:val="00287861"/>
    <w:rsid w:val="002B0EA6"/>
    <w:rsid w:val="002C495F"/>
    <w:rsid w:val="002F2D85"/>
    <w:rsid w:val="00310E51"/>
    <w:rsid w:val="00315F5E"/>
    <w:rsid w:val="00316B51"/>
    <w:rsid w:val="00353472"/>
    <w:rsid w:val="00364331"/>
    <w:rsid w:val="00377106"/>
    <w:rsid w:val="003D01A9"/>
    <w:rsid w:val="003E02E8"/>
    <w:rsid w:val="003E5BE3"/>
    <w:rsid w:val="003F6569"/>
    <w:rsid w:val="003F6C8D"/>
    <w:rsid w:val="004016A0"/>
    <w:rsid w:val="004025C0"/>
    <w:rsid w:val="00405F27"/>
    <w:rsid w:val="00410363"/>
    <w:rsid w:val="00412C5C"/>
    <w:rsid w:val="00451792"/>
    <w:rsid w:val="0047148C"/>
    <w:rsid w:val="00472B9B"/>
    <w:rsid w:val="00482CDF"/>
    <w:rsid w:val="004A2F65"/>
    <w:rsid w:val="004A44EE"/>
    <w:rsid w:val="004A6EAE"/>
    <w:rsid w:val="004A7275"/>
    <w:rsid w:val="004A7BFA"/>
    <w:rsid w:val="004B0D83"/>
    <w:rsid w:val="004B697F"/>
    <w:rsid w:val="004D1A21"/>
    <w:rsid w:val="004E060B"/>
    <w:rsid w:val="004F740A"/>
    <w:rsid w:val="004F7D7A"/>
    <w:rsid w:val="0050054E"/>
    <w:rsid w:val="00527EAD"/>
    <w:rsid w:val="00537892"/>
    <w:rsid w:val="005660F5"/>
    <w:rsid w:val="005719D8"/>
    <w:rsid w:val="0059428B"/>
    <w:rsid w:val="005A2AEA"/>
    <w:rsid w:val="005A5FD2"/>
    <w:rsid w:val="005C1167"/>
    <w:rsid w:val="005C3C01"/>
    <w:rsid w:val="005D3F77"/>
    <w:rsid w:val="005D46FF"/>
    <w:rsid w:val="005E157C"/>
    <w:rsid w:val="005F44EC"/>
    <w:rsid w:val="00603BDE"/>
    <w:rsid w:val="006047A1"/>
    <w:rsid w:val="006073EB"/>
    <w:rsid w:val="00645BFC"/>
    <w:rsid w:val="00646CC5"/>
    <w:rsid w:val="00654D21"/>
    <w:rsid w:val="00675FA5"/>
    <w:rsid w:val="00677327"/>
    <w:rsid w:val="0068310C"/>
    <w:rsid w:val="006B5834"/>
    <w:rsid w:val="006D683A"/>
    <w:rsid w:val="006E34D5"/>
    <w:rsid w:val="006F222B"/>
    <w:rsid w:val="006F391F"/>
    <w:rsid w:val="006F4588"/>
    <w:rsid w:val="00704AA6"/>
    <w:rsid w:val="0072633A"/>
    <w:rsid w:val="00732774"/>
    <w:rsid w:val="007334B1"/>
    <w:rsid w:val="007350D5"/>
    <w:rsid w:val="00741D80"/>
    <w:rsid w:val="007424BC"/>
    <w:rsid w:val="00746A61"/>
    <w:rsid w:val="007702FF"/>
    <w:rsid w:val="007722AC"/>
    <w:rsid w:val="007738C3"/>
    <w:rsid w:val="00777315"/>
    <w:rsid w:val="00793CF1"/>
    <w:rsid w:val="007A40CC"/>
    <w:rsid w:val="007A57BA"/>
    <w:rsid w:val="007A5E69"/>
    <w:rsid w:val="007B6A4B"/>
    <w:rsid w:val="007E2D12"/>
    <w:rsid w:val="007F740C"/>
    <w:rsid w:val="0081092C"/>
    <w:rsid w:val="00815E75"/>
    <w:rsid w:val="00815F08"/>
    <w:rsid w:val="00820227"/>
    <w:rsid w:val="008320CC"/>
    <w:rsid w:val="00841696"/>
    <w:rsid w:val="0086337E"/>
    <w:rsid w:val="0088652C"/>
    <w:rsid w:val="008A0F0A"/>
    <w:rsid w:val="008B692C"/>
    <w:rsid w:val="008C73D6"/>
    <w:rsid w:val="008C75A1"/>
    <w:rsid w:val="008C77C0"/>
    <w:rsid w:val="008D6FCB"/>
    <w:rsid w:val="008E1BEE"/>
    <w:rsid w:val="008E38B7"/>
    <w:rsid w:val="008F28FF"/>
    <w:rsid w:val="00920B47"/>
    <w:rsid w:val="00923B66"/>
    <w:rsid w:val="0092418D"/>
    <w:rsid w:val="009450B4"/>
    <w:rsid w:val="00947FDB"/>
    <w:rsid w:val="009601DF"/>
    <w:rsid w:val="00970DBB"/>
    <w:rsid w:val="00981330"/>
    <w:rsid w:val="00984E33"/>
    <w:rsid w:val="009A6974"/>
    <w:rsid w:val="009C17F6"/>
    <w:rsid w:val="009C37E7"/>
    <w:rsid w:val="009D0798"/>
    <w:rsid w:val="009D0ED1"/>
    <w:rsid w:val="009D116A"/>
    <w:rsid w:val="009E12C4"/>
    <w:rsid w:val="00A02A69"/>
    <w:rsid w:val="00A06596"/>
    <w:rsid w:val="00A17CBB"/>
    <w:rsid w:val="00A3783D"/>
    <w:rsid w:val="00A42AE6"/>
    <w:rsid w:val="00A46089"/>
    <w:rsid w:val="00A50CDF"/>
    <w:rsid w:val="00A5277B"/>
    <w:rsid w:val="00A75670"/>
    <w:rsid w:val="00A77B7B"/>
    <w:rsid w:val="00A85CB8"/>
    <w:rsid w:val="00A911D3"/>
    <w:rsid w:val="00A91C37"/>
    <w:rsid w:val="00A952C7"/>
    <w:rsid w:val="00A96B48"/>
    <w:rsid w:val="00AA2441"/>
    <w:rsid w:val="00AC0933"/>
    <w:rsid w:val="00AE4F20"/>
    <w:rsid w:val="00B03287"/>
    <w:rsid w:val="00B06D5F"/>
    <w:rsid w:val="00B21717"/>
    <w:rsid w:val="00B45C77"/>
    <w:rsid w:val="00B53DA4"/>
    <w:rsid w:val="00B56440"/>
    <w:rsid w:val="00B60EDF"/>
    <w:rsid w:val="00B61D4D"/>
    <w:rsid w:val="00B724D6"/>
    <w:rsid w:val="00B77524"/>
    <w:rsid w:val="00B957C7"/>
    <w:rsid w:val="00BA08E0"/>
    <w:rsid w:val="00BA36C4"/>
    <w:rsid w:val="00BA4D38"/>
    <w:rsid w:val="00BB15B9"/>
    <w:rsid w:val="00BB537C"/>
    <w:rsid w:val="00BB7E4E"/>
    <w:rsid w:val="00BC1A34"/>
    <w:rsid w:val="00BC42CE"/>
    <w:rsid w:val="00BD2B0D"/>
    <w:rsid w:val="00C02BE3"/>
    <w:rsid w:val="00C0322E"/>
    <w:rsid w:val="00C10E9F"/>
    <w:rsid w:val="00C21735"/>
    <w:rsid w:val="00C30CB6"/>
    <w:rsid w:val="00C43F4A"/>
    <w:rsid w:val="00C51700"/>
    <w:rsid w:val="00C73C94"/>
    <w:rsid w:val="00C821ED"/>
    <w:rsid w:val="00C90D95"/>
    <w:rsid w:val="00C974D1"/>
    <w:rsid w:val="00CB621B"/>
    <w:rsid w:val="00CC0527"/>
    <w:rsid w:val="00CE2360"/>
    <w:rsid w:val="00CF065B"/>
    <w:rsid w:val="00CF0FB3"/>
    <w:rsid w:val="00D07C4D"/>
    <w:rsid w:val="00D1111F"/>
    <w:rsid w:val="00D13549"/>
    <w:rsid w:val="00D17BA2"/>
    <w:rsid w:val="00D20977"/>
    <w:rsid w:val="00D22A60"/>
    <w:rsid w:val="00D238CE"/>
    <w:rsid w:val="00D24F2F"/>
    <w:rsid w:val="00D32EB3"/>
    <w:rsid w:val="00D47BC3"/>
    <w:rsid w:val="00D649A3"/>
    <w:rsid w:val="00D74164"/>
    <w:rsid w:val="00D74C9C"/>
    <w:rsid w:val="00D854D7"/>
    <w:rsid w:val="00D91F1D"/>
    <w:rsid w:val="00DC1E61"/>
    <w:rsid w:val="00DC770F"/>
    <w:rsid w:val="00DD056F"/>
    <w:rsid w:val="00DE0BFD"/>
    <w:rsid w:val="00E00E03"/>
    <w:rsid w:val="00E04F31"/>
    <w:rsid w:val="00E21742"/>
    <w:rsid w:val="00E265C5"/>
    <w:rsid w:val="00E40ABD"/>
    <w:rsid w:val="00E52B7B"/>
    <w:rsid w:val="00E65810"/>
    <w:rsid w:val="00E708C2"/>
    <w:rsid w:val="00E76A57"/>
    <w:rsid w:val="00E77C25"/>
    <w:rsid w:val="00E85285"/>
    <w:rsid w:val="00E905CB"/>
    <w:rsid w:val="00EA6DF3"/>
    <w:rsid w:val="00EB34C1"/>
    <w:rsid w:val="00EB4348"/>
    <w:rsid w:val="00ED1AA0"/>
    <w:rsid w:val="00EE7670"/>
    <w:rsid w:val="00EF38BB"/>
    <w:rsid w:val="00F0086C"/>
    <w:rsid w:val="00F200F8"/>
    <w:rsid w:val="00F26EFC"/>
    <w:rsid w:val="00F30D4F"/>
    <w:rsid w:val="00F4240F"/>
    <w:rsid w:val="00F64528"/>
    <w:rsid w:val="00F66B2F"/>
    <w:rsid w:val="00FA65B3"/>
    <w:rsid w:val="00FC4536"/>
    <w:rsid w:val="00FD6E9B"/>
    <w:rsid w:val="00FD79C4"/>
    <w:rsid w:val="00FE058C"/>
    <w:rsid w:val="00FE37BB"/>
    <w:rsid w:val="00FE457F"/>
    <w:rsid w:val="00FE6856"/>
    <w:rsid w:val="00FE7B71"/>
    <w:rsid w:val="00FF4D9E"/>
    <w:rsid w:val="09AC4A88"/>
    <w:rsid w:val="09E72828"/>
    <w:rsid w:val="0B195E53"/>
    <w:rsid w:val="104434AA"/>
    <w:rsid w:val="144915D5"/>
    <w:rsid w:val="14A300F6"/>
    <w:rsid w:val="14D87F64"/>
    <w:rsid w:val="15644FFD"/>
    <w:rsid w:val="1F9D1143"/>
    <w:rsid w:val="25D51141"/>
    <w:rsid w:val="26357B43"/>
    <w:rsid w:val="2FCE79EA"/>
    <w:rsid w:val="2FEE2BCC"/>
    <w:rsid w:val="34152101"/>
    <w:rsid w:val="36FD644B"/>
    <w:rsid w:val="3BC35595"/>
    <w:rsid w:val="3E956D9A"/>
    <w:rsid w:val="3FD94955"/>
    <w:rsid w:val="405C14A4"/>
    <w:rsid w:val="495F5E27"/>
    <w:rsid w:val="697510D0"/>
    <w:rsid w:val="6CB53D92"/>
    <w:rsid w:val="6F32366F"/>
    <w:rsid w:val="73690737"/>
    <w:rsid w:val="73E613C8"/>
    <w:rsid w:val="73EC042F"/>
    <w:rsid w:val="7D8148CF"/>
    <w:rsid w:val="7E646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semiHidden/>
    <w:qFormat/>
    <w:uiPriority w:val="0"/>
    <w:rPr>
      <w:b/>
      <w:bCs/>
    </w:rPr>
  </w:style>
  <w:style w:type="paragraph" w:styleId="3">
    <w:name w:val="annotation text"/>
    <w:basedOn w:val="1"/>
    <w:semiHidden/>
    <w:qFormat/>
    <w:uiPriority w:val="0"/>
    <w:pPr>
      <w:jc w:val="left"/>
    </w:pPr>
  </w:style>
  <w:style w:type="paragraph" w:styleId="4">
    <w:name w:val="Balloon Text"/>
    <w:basedOn w:val="1"/>
    <w:semiHidden/>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character" w:styleId="10">
    <w:name w:val="annotation reference"/>
    <w:semiHidden/>
    <w:qFormat/>
    <w:uiPriority w:val="0"/>
    <w:rPr>
      <w:sz w:val="21"/>
      <w:szCs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页眉 Char"/>
    <w:link w:val="6"/>
    <w:qFormat/>
    <w:uiPriority w:val="0"/>
    <w:rPr>
      <w:kern w:val="2"/>
      <w:sz w:val="18"/>
      <w:szCs w:val="18"/>
    </w:rPr>
  </w:style>
  <w:style w:type="character" w:customStyle="1" w:styleId="14">
    <w:name w:val="页脚 Char"/>
    <w:link w:val="5"/>
    <w:qFormat/>
    <w:uiPriority w:val="0"/>
    <w:rPr>
      <w:kern w:val="2"/>
      <w:sz w:val="18"/>
      <w:szCs w:val="18"/>
    </w:rPr>
  </w:style>
  <w:style w:type="paragraph" w:customStyle="1" w:styleId="15">
    <w:name w:val="Char Char Char"/>
    <w:basedOn w:val="1"/>
    <w:qFormat/>
    <w:uiPriority w:val="0"/>
  </w:style>
  <w:style w:type="paragraph" w:customStyle="1" w:styleId="16">
    <w:name w:val="p0"/>
    <w:basedOn w:val="1"/>
    <w:qFormat/>
    <w:uiPriority w:val="99"/>
    <w:pPr>
      <w:widowControl/>
      <w:spacing w:before="100" w:beforeAutospacing="1" w:after="100" w:afterAutospacing="1"/>
      <w:jc w:val="left"/>
    </w:pPr>
    <w:rPr>
      <w:rFonts w:ascii="宋体" w:hAnsi="宋体" w:cs="宋体"/>
      <w:kern w:val="0"/>
      <w:sz w:val="24"/>
    </w:rPr>
  </w:style>
  <w:style w:type="paragraph" w:customStyle="1" w:styleId="17">
    <w:name w:val="默认段落字体 Para Char Char"/>
    <w:basedOn w:val="1"/>
    <w:qFormat/>
    <w:uiPriority w:val="0"/>
  </w:style>
  <w:style w:type="paragraph" w:customStyle="1" w:styleId="18">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20">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610</Words>
  <Characters>3479</Characters>
  <Lines>28</Lines>
  <Paragraphs>8</Paragraphs>
  <TotalTime>0</TotalTime>
  <ScaleCrop>false</ScaleCrop>
  <LinksUpToDate>false</LinksUpToDate>
  <CharactersWithSpaces>4081</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2019-11-21T00:51:00Z</dcterms:created>
  <dc:creator>User</dc:creator>
  <cp:lastModifiedBy>马炜轩</cp:lastModifiedBy>
  <cp:lastPrinted>2019-03-21T08:02:00Z</cp:lastPrinted>
  <dcterms:modified xsi:type="dcterms:W3CDTF">2019-12-23T09:08:49Z</dcterms:modified>
  <dc:title>第一章</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