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color w:val="000000"/>
          <w:sz w:val="32"/>
          <w:szCs w:val="32"/>
        </w:rPr>
      </w:pPr>
      <w:r>
        <w:rPr>
          <w:rFonts w:hint="eastAsia" w:eastAsia="黑体"/>
          <w:color w:val="000000"/>
          <w:sz w:val="32"/>
          <w:szCs w:val="32"/>
        </w:rPr>
        <w:t>南山区自主创新产业发展专项资金</w:t>
      </w:r>
      <w:r>
        <w:rPr>
          <w:rFonts w:eastAsia="黑体"/>
          <w:color w:val="000000"/>
          <w:sz w:val="32"/>
          <w:szCs w:val="32"/>
        </w:rPr>
        <w:t>—</w:t>
      </w:r>
      <w:r>
        <w:rPr>
          <w:rFonts w:hint="eastAsia" w:eastAsia="黑体"/>
          <w:color w:val="000000"/>
          <w:sz w:val="32"/>
          <w:szCs w:val="32"/>
        </w:rPr>
        <w:t>文化产业发展分项资金</w:t>
      </w:r>
    </w:p>
    <w:p>
      <w:pPr>
        <w:spacing w:line="540" w:lineRule="exact"/>
        <w:jc w:val="center"/>
        <w:rPr>
          <w:rFonts w:eastAsia="黑体"/>
          <w:color w:val="000000"/>
          <w:sz w:val="32"/>
          <w:szCs w:val="32"/>
        </w:rPr>
      </w:pPr>
      <w:r>
        <w:rPr>
          <w:rFonts w:hint="eastAsia" w:eastAsia="黑体"/>
          <w:color w:val="000000"/>
          <w:sz w:val="32"/>
          <w:szCs w:val="32"/>
        </w:rPr>
        <w:t>旅游创优评级资助项目操作规程</w:t>
      </w:r>
      <w:r>
        <w:rPr>
          <w:rFonts w:hint="eastAsia" w:eastAsia="黑体"/>
          <w:b/>
          <w:bCs/>
          <w:sz w:val="32"/>
          <w:szCs w:val="32"/>
        </w:rPr>
        <w:t>（</w:t>
      </w:r>
      <w:r>
        <w:rPr>
          <w:rFonts w:eastAsia="黑体"/>
          <w:b/>
          <w:bCs/>
          <w:sz w:val="32"/>
          <w:szCs w:val="32"/>
        </w:rPr>
        <w:t>20</w:t>
      </w:r>
      <w:r>
        <w:rPr>
          <w:rFonts w:hint="eastAsia" w:eastAsia="黑体"/>
          <w:b/>
          <w:bCs/>
          <w:sz w:val="32"/>
          <w:szCs w:val="32"/>
        </w:rPr>
        <w:t>20年度）</w:t>
      </w:r>
    </w:p>
    <w:p>
      <w:pPr>
        <w:jc w:val="center"/>
        <w:rPr>
          <w:rFonts w:eastAsia="黑体"/>
          <w:color w:val="000000"/>
          <w:sz w:val="32"/>
          <w:szCs w:val="32"/>
        </w:rPr>
      </w:pPr>
    </w:p>
    <w:p>
      <w:pPr>
        <w:spacing w:line="600" w:lineRule="exact"/>
        <w:ind w:firstLine="640" w:firstLineChars="200"/>
        <w:rPr>
          <w:rFonts w:eastAsia="仿宋"/>
          <w:sz w:val="32"/>
          <w:szCs w:val="32"/>
        </w:rPr>
      </w:pPr>
      <w:r>
        <w:rPr>
          <w:rFonts w:hint="eastAsia" w:hAnsi="仿宋" w:eastAsia="仿宋"/>
          <w:sz w:val="32"/>
          <w:szCs w:val="32"/>
        </w:rPr>
        <w:t>为推动旅</w:t>
      </w:r>
      <w:bookmarkStart w:id="0" w:name="_GoBack"/>
      <w:bookmarkEnd w:id="0"/>
      <w:r>
        <w:rPr>
          <w:rFonts w:hint="eastAsia" w:hAnsi="仿宋" w:eastAsia="仿宋"/>
          <w:sz w:val="32"/>
          <w:szCs w:val="32"/>
        </w:rPr>
        <w:t>游行业提升服务质量，鼓励旅游行业企业开展创优评级，</w:t>
      </w:r>
      <w:r>
        <w:rPr>
          <w:rFonts w:hint="eastAsia" w:hAnsi="仿宋" w:eastAsia="仿宋"/>
          <w:kern w:val="0"/>
          <w:sz w:val="32"/>
          <w:szCs w:val="32"/>
        </w:rPr>
        <w:t>根据《南山区自主创新产业发展专项资金管理办法》和《</w:t>
      </w:r>
      <w:r>
        <w:rPr>
          <w:rFonts w:hint="eastAsia" w:hAnsi="仿宋" w:eastAsia="仿宋"/>
          <w:sz w:val="32"/>
          <w:szCs w:val="32"/>
        </w:rPr>
        <w:t>南山区自主创新产业发展专项资金</w:t>
      </w:r>
      <w:r>
        <w:rPr>
          <w:rFonts w:hint="eastAsia" w:eastAsia="仿宋"/>
          <w:sz w:val="32"/>
          <w:szCs w:val="32"/>
        </w:rPr>
        <w:t>—</w:t>
      </w:r>
      <w:r>
        <w:rPr>
          <w:rFonts w:hint="eastAsia" w:hAnsi="仿宋" w:eastAsia="仿宋"/>
          <w:sz w:val="32"/>
          <w:szCs w:val="32"/>
        </w:rPr>
        <w:t>文化产业</w:t>
      </w:r>
      <w:r>
        <w:rPr>
          <w:rFonts w:hint="eastAsia" w:hAnsi="仿宋" w:eastAsia="仿宋"/>
          <w:kern w:val="0"/>
          <w:sz w:val="32"/>
          <w:szCs w:val="32"/>
        </w:rPr>
        <w:t>发展分项资金实施细则》，</w:t>
      </w:r>
      <w:r>
        <w:rPr>
          <w:rFonts w:hint="eastAsia" w:hAnsi="仿宋" w:eastAsia="仿宋"/>
          <w:sz w:val="32"/>
          <w:szCs w:val="32"/>
        </w:rPr>
        <w:t>制定本操作规程。</w:t>
      </w:r>
    </w:p>
    <w:p>
      <w:pPr>
        <w:widowControl/>
        <w:spacing w:line="600" w:lineRule="exact"/>
        <w:ind w:firstLine="537" w:firstLineChars="168"/>
        <w:rPr>
          <w:rFonts w:eastAsia="黑体"/>
          <w:sz w:val="32"/>
          <w:szCs w:val="32"/>
        </w:rPr>
      </w:pPr>
      <w:r>
        <w:rPr>
          <w:rFonts w:hint="eastAsia" w:hAnsi="黑体" w:eastAsia="黑体"/>
          <w:sz w:val="32"/>
          <w:szCs w:val="32"/>
        </w:rPr>
        <w:t>一、政策内容</w:t>
      </w:r>
    </w:p>
    <w:p>
      <w:pPr>
        <w:widowControl/>
        <w:spacing w:line="600" w:lineRule="exact"/>
        <w:ind w:firstLine="537" w:firstLineChars="168"/>
        <w:rPr>
          <w:rFonts w:eastAsia="仿宋"/>
          <w:sz w:val="32"/>
          <w:szCs w:val="32"/>
        </w:rPr>
      </w:pPr>
      <w:r>
        <w:rPr>
          <w:rFonts w:eastAsia="仿宋"/>
          <w:sz w:val="32"/>
          <w:szCs w:val="32"/>
        </w:rPr>
        <w:t xml:space="preserve"> </w:t>
      </w:r>
      <w:r>
        <w:rPr>
          <w:rFonts w:hint="eastAsia" w:hAnsi="仿宋" w:eastAsia="仿宋"/>
          <w:sz w:val="32"/>
          <w:szCs w:val="32"/>
        </w:rPr>
        <w:t>鼓励旅游行业企业开展创优评级。</w:t>
      </w:r>
    </w:p>
    <w:p>
      <w:pPr>
        <w:widowControl/>
        <w:spacing w:line="600" w:lineRule="exact"/>
        <w:rPr>
          <w:rFonts w:eastAsia="黑体"/>
          <w:sz w:val="32"/>
          <w:szCs w:val="32"/>
        </w:rPr>
      </w:pPr>
      <w:r>
        <w:rPr>
          <w:rFonts w:hint="eastAsia" w:hAnsi="黑体" w:eastAsia="黑体"/>
          <w:sz w:val="32"/>
          <w:szCs w:val="32"/>
        </w:rPr>
        <w:t>二、资助方式</w:t>
      </w:r>
    </w:p>
    <w:p>
      <w:pPr>
        <w:widowControl/>
        <w:spacing w:line="600" w:lineRule="exact"/>
        <w:ind w:firstLine="537" w:firstLineChars="168"/>
        <w:rPr>
          <w:rFonts w:ascii="仿宋" w:hAnsi="仿宋" w:eastAsia="仿宋"/>
          <w:sz w:val="32"/>
          <w:szCs w:val="32"/>
        </w:rPr>
      </w:pPr>
      <w:r>
        <w:rPr>
          <w:rFonts w:eastAsia="仿宋_GB2312"/>
          <w:sz w:val="32"/>
          <w:szCs w:val="32"/>
        </w:rPr>
        <w:t xml:space="preserve"> </w:t>
      </w:r>
      <w:r>
        <w:rPr>
          <w:rFonts w:hint="eastAsia" w:ascii="仿宋" w:hAnsi="仿宋" w:eastAsia="仿宋"/>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仿宋"/>
          <w:sz w:val="32"/>
          <w:szCs w:val="32"/>
        </w:rPr>
      </w:pPr>
      <w:r>
        <w:rPr>
          <w:rFonts w:hint="eastAsia" w:hAnsi="黑体" w:eastAsia="黑体"/>
          <w:sz w:val="32"/>
          <w:szCs w:val="32"/>
        </w:rPr>
        <w:t>三、资助标准</w:t>
      </w:r>
    </w:p>
    <w:p>
      <w:pPr>
        <w:widowControl/>
        <w:shd w:val="clear" w:color="auto" w:fill="auto"/>
        <w:spacing w:line="600" w:lineRule="exact"/>
        <w:ind w:firstLine="537" w:firstLineChars="168"/>
        <w:rPr>
          <w:rFonts w:ascii="仿宋" w:hAnsi="仿宋" w:eastAsia="仿宋" w:cs="Times New Roman"/>
          <w:kern w:val="2"/>
          <w:sz w:val="32"/>
          <w:szCs w:val="32"/>
        </w:rPr>
      </w:pPr>
      <w:r>
        <w:rPr>
          <w:rFonts w:hint="eastAsia" w:ascii="仿宋" w:hAnsi="仿宋" w:eastAsia="仿宋" w:cs="Times New Roman"/>
          <w:kern w:val="2"/>
          <w:sz w:val="32"/>
          <w:szCs w:val="32"/>
        </w:rPr>
        <w:t>（一）对获评为国家５Ａ、４Ａ、３Ａ级旅游景区的单位，分别给予</w:t>
      </w:r>
      <w:r>
        <w:rPr>
          <w:rFonts w:ascii="仿宋" w:hAnsi="仿宋" w:eastAsia="仿宋" w:cs="Times New Roman"/>
          <w:kern w:val="2"/>
          <w:sz w:val="32"/>
          <w:szCs w:val="32"/>
        </w:rPr>
        <w:t>100</w:t>
      </w:r>
      <w:r>
        <w:rPr>
          <w:rFonts w:hint="eastAsia" w:ascii="仿宋" w:hAnsi="仿宋" w:eastAsia="仿宋" w:cs="Times New Roman"/>
          <w:kern w:val="2"/>
          <w:sz w:val="32"/>
          <w:szCs w:val="32"/>
        </w:rPr>
        <w:t>万元、</w:t>
      </w:r>
      <w:r>
        <w:rPr>
          <w:rFonts w:ascii="仿宋" w:hAnsi="仿宋" w:eastAsia="仿宋" w:cs="Times New Roman"/>
          <w:kern w:val="2"/>
          <w:sz w:val="32"/>
          <w:szCs w:val="32"/>
        </w:rPr>
        <w:t>50</w:t>
      </w:r>
      <w:r>
        <w:rPr>
          <w:rFonts w:hint="eastAsia" w:ascii="仿宋" w:hAnsi="仿宋" w:eastAsia="仿宋" w:cs="Times New Roman"/>
          <w:kern w:val="2"/>
          <w:sz w:val="32"/>
          <w:szCs w:val="32"/>
        </w:rPr>
        <w:t>万元、</w:t>
      </w:r>
      <w:r>
        <w:rPr>
          <w:rFonts w:ascii="仿宋" w:hAnsi="仿宋" w:eastAsia="仿宋" w:cs="Times New Roman"/>
          <w:kern w:val="2"/>
          <w:sz w:val="32"/>
          <w:szCs w:val="32"/>
        </w:rPr>
        <w:t>30</w:t>
      </w:r>
      <w:r>
        <w:rPr>
          <w:rFonts w:hint="eastAsia" w:ascii="仿宋" w:hAnsi="仿宋" w:eastAsia="仿宋" w:cs="Times New Roman"/>
          <w:kern w:val="2"/>
          <w:sz w:val="32"/>
          <w:szCs w:val="32"/>
        </w:rPr>
        <w:t>万元的一次性奖励。</w:t>
      </w:r>
    </w:p>
    <w:p>
      <w:pPr>
        <w:widowControl/>
        <w:shd w:val="clear" w:color="auto" w:fill="auto"/>
        <w:spacing w:line="600" w:lineRule="exact"/>
        <w:ind w:firstLine="537" w:firstLineChars="168"/>
        <w:rPr>
          <w:rFonts w:ascii="仿宋" w:hAnsi="仿宋" w:eastAsia="仿宋" w:cs="Times New Roman"/>
          <w:kern w:val="2"/>
          <w:sz w:val="32"/>
          <w:szCs w:val="32"/>
        </w:rPr>
      </w:pPr>
      <w:r>
        <w:rPr>
          <w:rFonts w:hint="eastAsia" w:ascii="仿宋" w:hAnsi="仿宋" w:eastAsia="仿宋" w:cs="Times New Roman"/>
          <w:kern w:val="2"/>
          <w:sz w:val="32"/>
          <w:szCs w:val="32"/>
        </w:rPr>
        <w:t>（二）对获得五星、四星级旅游饭店评定的单位，分别给予</w:t>
      </w:r>
      <w:r>
        <w:rPr>
          <w:rFonts w:ascii="仿宋" w:hAnsi="仿宋" w:eastAsia="仿宋" w:cs="Times New Roman"/>
          <w:kern w:val="2"/>
          <w:sz w:val="32"/>
          <w:szCs w:val="32"/>
        </w:rPr>
        <w:t>100</w:t>
      </w:r>
      <w:r>
        <w:rPr>
          <w:rFonts w:hint="eastAsia" w:ascii="仿宋" w:hAnsi="仿宋" w:eastAsia="仿宋" w:cs="Times New Roman"/>
          <w:kern w:val="2"/>
          <w:sz w:val="32"/>
          <w:szCs w:val="32"/>
        </w:rPr>
        <w:t>万元、</w:t>
      </w:r>
      <w:r>
        <w:rPr>
          <w:rFonts w:ascii="仿宋" w:hAnsi="仿宋" w:eastAsia="仿宋" w:cs="Times New Roman"/>
          <w:kern w:val="2"/>
          <w:sz w:val="32"/>
          <w:szCs w:val="32"/>
        </w:rPr>
        <w:t>60</w:t>
      </w:r>
      <w:r>
        <w:rPr>
          <w:rFonts w:hint="eastAsia" w:ascii="仿宋" w:hAnsi="仿宋" w:eastAsia="仿宋" w:cs="Times New Roman"/>
          <w:kern w:val="2"/>
          <w:sz w:val="32"/>
          <w:szCs w:val="32"/>
        </w:rPr>
        <w:t>万元的一次性奖励。</w:t>
      </w:r>
    </w:p>
    <w:p>
      <w:pPr>
        <w:widowControl/>
        <w:shd w:val="clear" w:color="auto" w:fill="auto"/>
        <w:spacing w:line="600" w:lineRule="exact"/>
        <w:ind w:firstLine="537" w:firstLineChars="168"/>
        <w:rPr>
          <w:rFonts w:ascii="仿宋" w:hAnsi="仿宋" w:eastAsia="仿宋" w:cs="Times New Roman"/>
          <w:kern w:val="2"/>
          <w:sz w:val="32"/>
          <w:szCs w:val="32"/>
        </w:rPr>
      </w:pPr>
      <w:r>
        <w:rPr>
          <w:rFonts w:hint="eastAsia" w:ascii="仿宋" w:hAnsi="仿宋" w:eastAsia="仿宋" w:cs="Times New Roman"/>
          <w:kern w:val="2"/>
          <w:sz w:val="32"/>
          <w:szCs w:val="32"/>
        </w:rPr>
        <w:t>（三）对获评为市级以上“平安景区”、“绿色景区”、“绿色饭店</w:t>
      </w:r>
      <w:r>
        <w:rPr>
          <w:rFonts w:ascii="仿宋" w:hAnsi="仿宋" w:eastAsia="仿宋" w:cs="Times New Roman"/>
          <w:kern w:val="2"/>
          <w:sz w:val="32"/>
          <w:szCs w:val="32"/>
        </w:rPr>
        <w:t>/</w:t>
      </w:r>
      <w:r>
        <w:rPr>
          <w:rFonts w:hint="eastAsia" w:ascii="仿宋" w:hAnsi="仿宋" w:eastAsia="仿宋" w:cs="Times New Roman"/>
          <w:kern w:val="2"/>
          <w:sz w:val="32"/>
          <w:szCs w:val="32"/>
        </w:rPr>
        <w:t>酒店（仅限旅游星级酒店）”的单位，给予</w:t>
      </w:r>
      <w:r>
        <w:rPr>
          <w:rFonts w:ascii="仿宋" w:hAnsi="仿宋" w:eastAsia="仿宋" w:cs="Times New Roman"/>
          <w:kern w:val="2"/>
          <w:sz w:val="32"/>
          <w:szCs w:val="32"/>
        </w:rPr>
        <w:t>20</w:t>
      </w:r>
      <w:r>
        <w:rPr>
          <w:rFonts w:hint="eastAsia" w:ascii="仿宋" w:hAnsi="仿宋" w:eastAsia="仿宋" w:cs="Times New Roman"/>
          <w:kern w:val="2"/>
          <w:sz w:val="32"/>
          <w:szCs w:val="32"/>
        </w:rPr>
        <w:t>万元的一次性奖励。</w:t>
      </w:r>
    </w:p>
    <w:p>
      <w:pPr>
        <w:widowControl/>
        <w:shd w:val="clear" w:color="auto" w:fill="auto"/>
        <w:spacing w:line="600" w:lineRule="exact"/>
        <w:ind w:firstLine="537" w:firstLineChars="168"/>
        <w:rPr>
          <w:rFonts w:ascii="仿宋" w:hAnsi="仿宋" w:eastAsia="仿宋" w:cs="Times New Roman"/>
          <w:kern w:val="2"/>
          <w:sz w:val="32"/>
          <w:szCs w:val="32"/>
        </w:rPr>
      </w:pPr>
      <w:r>
        <w:rPr>
          <w:rFonts w:hint="eastAsia" w:ascii="仿宋" w:hAnsi="仿宋" w:eastAsia="仿宋" w:cs="Times New Roman"/>
          <w:kern w:val="2"/>
          <w:sz w:val="32"/>
          <w:szCs w:val="32"/>
        </w:rPr>
        <w:t>（四）对获评为国家“百强旅行社”、省“百强旅行社”、市“旅行社二十强”的单位分别给予</w:t>
      </w:r>
      <w:r>
        <w:rPr>
          <w:rFonts w:ascii="仿宋" w:hAnsi="仿宋" w:eastAsia="仿宋" w:cs="Times New Roman"/>
          <w:kern w:val="2"/>
          <w:sz w:val="32"/>
          <w:szCs w:val="32"/>
        </w:rPr>
        <w:t>50</w:t>
      </w:r>
      <w:r>
        <w:rPr>
          <w:rFonts w:hint="eastAsia" w:ascii="仿宋" w:hAnsi="仿宋" w:eastAsia="仿宋" w:cs="Times New Roman"/>
          <w:kern w:val="2"/>
          <w:sz w:val="32"/>
          <w:szCs w:val="32"/>
        </w:rPr>
        <w:t>万元、</w:t>
      </w:r>
      <w:r>
        <w:rPr>
          <w:rFonts w:ascii="仿宋" w:hAnsi="仿宋" w:eastAsia="仿宋" w:cs="Times New Roman"/>
          <w:kern w:val="2"/>
          <w:sz w:val="32"/>
          <w:szCs w:val="32"/>
        </w:rPr>
        <w:t>30</w:t>
      </w:r>
      <w:r>
        <w:rPr>
          <w:rFonts w:hint="eastAsia" w:ascii="仿宋" w:hAnsi="仿宋" w:eastAsia="仿宋" w:cs="Times New Roman"/>
          <w:kern w:val="2"/>
          <w:sz w:val="32"/>
          <w:szCs w:val="32"/>
        </w:rPr>
        <w:t>万元、</w:t>
      </w:r>
      <w:r>
        <w:rPr>
          <w:rFonts w:ascii="仿宋" w:hAnsi="仿宋" w:eastAsia="仿宋" w:cs="Times New Roman"/>
          <w:kern w:val="2"/>
          <w:sz w:val="32"/>
          <w:szCs w:val="32"/>
        </w:rPr>
        <w:t>20</w:t>
      </w:r>
      <w:r>
        <w:rPr>
          <w:rFonts w:hint="eastAsia" w:ascii="仿宋" w:hAnsi="仿宋" w:eastAsia="仿宋" w:cs="Times New Roman"/>
          <w:kern w:val="2"/>
          <w:sz w:val="32"/>
          <w:szCs w:val="32"/>
        </w:rPr>
        <w:t>万元的一次性奖励。</w:t>
      </w:r>
    </w:p>
    <w:p>
      <w:pPr>
        <w:widowControl/>
        <w:spacing w:line="600" w:lineRule="exact"/>
        <w:ind w:firstLine="537" w:firstLineChars="168"/>
        <w:rPr>
          <w:rFonts w:ascii="仿宋" w:hAnsi="仿宋" w:eastAsia="仿宋"/>
          <w:sz w:val="32"/>
          <w:szCs w:val="32"/>
        </w:rPr>
      </w:pPr>
      <w:r>
        <w:rPr>
          <w:rFonts w:hint="eastAsia" w:ascii="仿宋" w:hAnsi="仿宋" w:eastAsia="仿宋" w:cs="Times New Roman"/>
          <w:kern w:val="2"/>
          <w:sz w:val="32"/>
          <w:szCs w:val="32"/>
        </w:rPr>
        <w:t>（五）旅游行业奖励首次获评后已获奖励的，复评后不再奖励，首次获评后未获奖励的，可在复评后进行申请，复评项目仅可按照上述标准申请一次。获得奖励的企业再获得更高级别称号时，仅可申请补发奖励差额。</w:t>
      </w:r>
    </w:p>
    <w:p>
      <w:pPr>
        <w:widowControl/>
        <w:spacing w:line="600" w:lineRule="exact"/>
        <w:ind w:firstLine="640" w:firstLineChars="200"/>
        <w:rPr>
          <w:rFonts w:ascii="仿宋" w:hAnsi="仿宋" w:eastAsia="仿宋"/>
          <w:bCs/>
          <w:sz w:val="32"/>
          <w:szCs w:val="32"/>
        </w:rPr>
      </w:pPr>
      <w:r>
        <w:rPr>
          <w:rFonts w:hint="eastAsia" w:ascii="仿宋" w:hAnsi="仿宋" w:eastAsia="仿宋"/>
          <w:bCs/>
          <w:sz w:val="32"/>
          <w:szCs w:val="32"/>
        </w:rPr>
        <w:t>（</w:t>
      </w:r>
      <w:r>
        <w:rPr>
          <w:rFonts w:hint="eastAsia" w:ascii="仿宋" w:hAnsi="仿宋" w:eastAsia="仿宋"/>
          <w:bCs/>
          <w:sz w:val="32"/>
          <w:szCs w:val="32"/>
        </w:rPr>
        <w:t>六</w:t>
      </w:r>
      <w:r>
        <w:rPr>
          <w:rFonts w:hint="eastAsia" w:ascii="仿宋" w:hAnsi="仿宋" w:eastAsia="仿宋"/>
          <w:bCs/>
          <w:sz w:val="32"/>
          <w:szCs w:val="32"/>
        </w:rPr>
        <w:t>）本项目受</w:t>
      </w:r>
      <w:r>
        <w:rPr>
          <w:rFonts w:hint="eastAsia" w:ascii="仿宋" w:hAnsi="仿宋" w:eastAsia="仿宋"/>
          <w:bCs/>
          <w:kern w:val="0"/>
          <w:sz w:val="32"/>
          <w:szCs w:val="32"/>
        </w:rPr>
        <w:t>《南山区自主创新产业发展专项资金管理办法（试行）》</w:t>
      </w:r>
      <w:r>
        <w:rPr>
          <w:rFonts w:hint="eastAsia" w:ascii="仿宋" w:hAnsi="仿宋" w:eastAsia="仿宋"/>
          <w:bCs/>
          <w:sz w:val="32"/>
          <w:szCs w:val="32"/>
        </w:rPr>
        <w:t>第十三条第（五）款“每家单位同一年度获得的资助金额原则上不超过其上一年度形成的区级地方财力贡献”限制。</w:t>
      </w:r>
    </w:p>
    <w:p>
      <w:pPr>
        <w:widowControl/>
        <w:spacing w:line="600" w:lineRule="exact"/>
        <w:ind w:firstLine="537" w:firstLineChars="168"/>
        <w:rPr>
          <w:rFonts w:eastAsia="黑体"/>
          <w:sz w:val="32"/>
          <w:szCs w:val="32"/>
        </w:rPr>
      </w:pPr>
      <w:r>
        <w:rPr>
          <w:rFonts w:hint="eastAsia" w:hAnsi="黑体" w:eastAsia="黑体"/>
          <w:sz w:val="32"/>
          <w:szCs w:val="32"/>
        </w:rPr>
        <w:t>四、申请条件</w:t>
      </w:r>
    </w:p>
    <w:p>
      <w:pPr>
        <w:widowControl/>
        <w:spacing w:line="600" w:lineRule="exact"/>
        <w:ind w:firstLine="537" w:firstLineChars="168"/>
        <w:rPr>
          <w:rFonts w:ascii="仿宋" w:hAnsi="仿宋" w:eastAsia="仿宋"/>
          <w:sz w:val="32"/>
          <w:szCs w:val="32"/>
        </w:rPr>
      </w:pPr>
      <w:r>
        <w:rPr>
          <w:rFonts w:hint="eastAsia" w:ascii="仿宋" w:hAnsi="仿宋" w:eastAsia="仿宋"/>
          <w:sz w:val="32"/>
          <w:szCs w:val="32"/>
        </w:rPr>
        <w:t>（一）申请本资金资助的单位原则上须满足以下条件：</w:t>
      </w:r>
    </w:p>
    <w:p>
      <w:pPr>
        <w:spacing w:line="600" w:lineRule="exact"/>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、在南山辖区内注册、具有独立法人资格的企业事业单位，</w:t>
      </w:r>
      <w:r>
        <w:rPr>
          <w:rFonts w:hint="eastAsia" w:ascii="仿宋" w:hAnsi="仿宋" w:eastAsia="仿宋"/>
          <w:bCs/>
          <w:color w:val="000000"/>
          <w:sz w:val="32"/>
          <w:szCs w:val="32"/>
        </w:rPr>
        <w:t>注册地在南山区的企业在本辖区设立的分支机构</w:t>
      </w:r>
      <w:r>
        <w:rPr>
          <w:rFonts w:hint="eastAsia" w:ascii="仿宋" w:hAnsi="仿宋" w:eastAsia="仿宋"/>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sz w:val="32"/>
          <w:szCs w:val="32"/>
        </w:rPr>
        <w:t>履行统计数据申报义务、</w:t>
      </w:r>
      <w:r>
        <w:rPr>
          <w:rFonts w:hint="eastAsia" w:ascii="仿宋" w:hAnsi="仿宋" w:eastAsia="仿宋"/>
          <w:color w:val="000000"/>
          <w:sz w:val="32"/>
          <w:szCs w:val="32"/>
        </w:rPr>
        <w:t>守法经营、诚实守信、有规范的财务管理制度。</w:t>
      </w:r>
    </w:p>
    <w:p>
      <w:pPr>
        <w:spacing w:line="6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ascii="仿宋" w:hAnsi="仿宋" w:eastAsia="仿宋" w:cs="Times New Roman"/>
          <w:kern w:val="2"/>
          <w:sz w:val="32"/>
          <w:szCs w:val="32"/>
        </w:rPr>
        <w:t>1</w:t>
      </w:r>
      <w:r>
        <w:rPr>
          <w:rFonts w:hint="eastAsia" w:ascii="仿宋" w:hAnsi="仿宋" w:eastAsia="仿宋" w:cs="Times New Roman"/>
          <w:kern w:val="2"/>
          <w:sz w:val="32"/>
          <w:szCs w:val="32"/>
        </w:rPr>
        <w:t>、近两年内在税收、安全生产、环保、劳动等方面存在重大违法行为，受到有关部门行政处罚的；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ascii="仿宋" w:hAnsi="仿宋" w:eastAsia="仿宋" w:cs="Times New Roman"/>
          <w:kern w:val="2"/>
          <w:sz w:val="32"/>
          <w:szCs w:val="32"/>
        </w:rPr>
        <w:t>2</w:t>
      </w:r>
      <w:r>
        <w:rPr>
          <w:rFonts w:hint="eastAsia" w:ascii="仿宋" w:hAnsi="仿宋" w:eastAsia="仿宋" w:cs="Times New Roman"/>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ascii="仿宋" w:hAnsi="仿宋" w:eastAsia="仿宋" w:cs="Times New Roman"/>
          <w:sz w:val="32"/>
          <w:szCs w:val="32"/>
        </w:rPr>
        <w:t>3</w:t>
      </w:r>
      <w:r>
        <w:rPr>
          <w:rFonts w:hint="eastAsia" w:ascii="仿宋" w:hAnsi="仿宋" w:eastAsia="仿宋" w:cs="Times New Roman"/>
          <w:sz w:val="32"/>
          <w:szCs w:val="32"/>
        </w:rPr>
        <w:t>、近三年内申请</w:t>
      </w:r>
      <w:r>
        <w:rPr>
          <w:rFonts w:hint="eastAsia" w:ascii="仿宋" w:hAnsi="仿宋" w:eastAsia="仿宋" w:cs="Times New Roman"/>
          <w:kern w:val="2"/>
          <w:sz w:val="32"/>
          <w:szCs w:val="32"/>
        </w:rPr>
        <w:t>单位以及单位法人</w:t>
      </w:r>
      <w:r>
        <w:rPr>
          <w:rFonts w:hint="eastAsia" w:ascii="仿宋" w:hAnsi="仿宋" w:eastAsia="仿宋" w:cs="Times New Roman"/>
          <w:sz w:val="32"/>
          <w:szCs w:val="32"/>
        </w:rPr>
        <w:t>存在违规申报使用政府资金、商业贿赂、不良信用记录等情况的</w:t>
      </w:r>
      <w:r>
        <w:rPr>
          <w:rFonts w:hint="eastAsia" w:ascii="仿宋" w:hAnsi="仿宋" w:eastAsia="仿宋" w:cs="Times New Roman"/>
          <w:kern w:val="2"/>
          <w:sz w:val="32"/>
          <w:szCs w:val="32"/>
        </w:rPr>
        <w:t>；</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sz w:val="32"/>
          <w:szCs w:val="32"/>
        </w:rPr>
      </w:pPr>
      <w:r>
        <w:rPr>
          <w:rFonts w:ascii="仿宋" w:hAnsi="仿宋" w:eastAsia="仿宋" w:cs="Times New Roman"/>
          <w:kern w:val="2"/>
          <w:sz w:val="32"/>
          <w:szCs w:val="32"/>
        </w:rPr>
        <w:t>4</w:t>
      </w:r>
      <w:r>
        <w:rPr>
          <w:rFonts w:hint="eastAsia" w:ascii="仿宋" w:hAnsi="仿宋" w:eastAsia="仿宋" w:cs="Times New Roman"/>
          <w:kern w:val="2"/>
          <w:sz w:val="32"/>
          <w:szCs w:val="32"/>
        </w:rPr>
        <w:t>、提出资助申请后，将</w:t>
      </w:r>
      <w:r>
        <w:rPr>
          <w:rFonts w:hint="eastAsia" w:ascii="仿宋" w:hAnsi="仿宋" w:eastAsia="仿宋" w:cs="Times New Roman"/>
          <w:sz w:val="32"/>
          <w:szCs w:val="32"/>
        </w:rPr>
        <w:t>企业注册地搬离南山和未按规定提交统计报表、</w:t>
      </w:r>
      <w:r>
        <w:rPr>
          <w:rFonts w:hint="eastAsia" w:ascii="仿宋" w:hAnsi="仿宋" w:eastAsia="仿宋" w:cs="Times New Roman"/>
          <w:color w:val="000000"/>
          <w:sz w:val="32"/>
          <w:szCs w:val="32"/>
        </w:rPr>
        <w:t>在产业发展综合服务平台填报相关数据</w:t>
      </w:r>
      <w:r>
        <w:rPr>
          <w:rFonts w:hint="eastAsia" w:ascii="仿宋" w:hAnsi="仿宋" w:eastAsia="仿宋" w:cs="Times New Roman"/>
          <w:sz w:val="32"/>
          <w:szCs w:val="32"/>
        </w:rPr>
        <w:t>的；</w:t>
      </w:r>
    </w:p>
    <w:p>
      <w:pPr>
        <w:pStyle w:val="5"/>
        <w:shd w:val="clear" w:color="auto" w:fill="FFFFFF"/>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cs="Times New Roman"/>
          <w:kern w:val="2"/>
          <w:sz w:val="32"/>
          <w:szCs w:val="32"/>
        </w:rPr>
        <w:t>5</w:t>
      </w:r>
      <w:r>
        <w:rPr>
          <w:rFonts w:hint="eastAsia" w:ascii="仿宋" w:hAnsi="仿宋" w:eastAsia="仿宋" w:cs="Times New Roman"/>
          <w:kern w:val="2"/>
          <w:sz w:val="32"/>
          <w:szCs w:val="32"/>
        </w:rPr>
        <w:t>、</w:t>
      </w:r>
      <w:r>
        <w:rPr>
          <w:rFonts w:hint="eastAsia" w:ascii="仿宋" w:hAnsi="仿宋" w:eastAsia="仿宋" w:cs="Times New Roman"/>
          <w:sz w:val="32"/>
          <w:szCs w:val="32"/>
        </w:rPr>
        <w:t>近三年内存在</w:t>
      </w:r>
      <w:r>
        <w:rPr>
          <w:rFonts w:hint="eastAsia" w:ascii="仿宋" w:hAnsi="仿宋" w:eastAsia="仿宋" w:cs="Times New Roman"/>
          <w:kern w:val="2"/>
          <w:sz w:val="32"/>
          <w:szCs w:val="32"/>
        </w:rPr>
        <w:t>资金使用绩效评价不合格情况的。</w:t>
      </w:r>
    </w:p>
    <w:p>
      <w:pPr>
        <w:pStyle w:val="5"/>
        <w:shd w:val="clear" w:color="auto" w:fill="FFFFFF"/>
        <w:spacing w:before="0" w:beforeAutospacing="0" w:after="0" w:afterAutospacing="0" w:line="600" w:lineRule="exact"/>
        <w:ind w:firstLine="640" w:firstLineChars="200"/>
        <w:jc w:val="both"/>
      </w:pPr>
      <w:r>
        <w:rPr>
          <w:rFonts w:hint="eastAsia" w:hAnsi="黑体" w:eastAsia="黑体"/>
          <w:sz w:val="32"/>
          <w:szCs w:val="32"/>
        </w:rPr>
        <w:t>五、办理流程</w:t>
      </w:r>
    </w:p>
    <w:p>
      <w:pPr>
        <w:pStyle w:val="5"/>
        <w:shd w:val="clear" w:color="auto" w:fill="FFFFFF"/>
        <w:spacing w:before="0" w:beforeAutospacing="0" w:after="0" w:afterAutospacing="0" w:line="600" w:lineRule="exact"/>
        <w:jc w:val="both"/>
        <w:rPr>
          <w:rFonts w:ascii="仿宋" w:hAnsi="仿宋" w:eastAsia="仿宋" w:cs="Times New Roman"/>
          <w:kern w:val="2"/>
          <w:sz w:val="32"/>
          <w:szCs w:val="32"/>
        </w:rPr>
      </w:pPr>
      <w:r>
        <w:rPr>
          <w:rFonts w:ascii="Times New Roman" w:hAnsi="Times New Roman" w:eastAsia="仿宋_GB2312" w:cs="Times New Roman"/>
          <w:kern w:val="2"/>
          <w:sz w:val="32"/>
          <w:szCs w:val="32"/>
        </w:rPr>
        <w:t xml:space="preserve">   </w:t>
      </w:r>
      <w:r>
        <w:rPr>
          <w:rFonts w:hint="eastAsia" w:ascii="仿宋" w:hAnsi="仿宋" w:eastAsia="仿宋" w:cs="Times New Roman"/>
          <w:kern w:val="2"/>
          <w:sz w:val="32"/>
          <w:szCs w:val="32"/>
        </w:rPr>
        <w:t>（一）申请单位按照操作规程的要求备齐资料，通过南山区产业发展综合服务平台提出资助申请，并按要求将有关材料递交区企业发展服务中心窗口；</w:t>
      </w:r>
    </w:p>
    <w:p>
      <w:pPr>
        <w:pStyle w:val="12"/>
        <w:shd w:val="clear" w:color="auto" w:fill="FFFFFF"/>
        <w:spacing w:before="0" w:beforeAutospacing="0" w:after="0" w:afterAutospacing="0" w:line="60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（三）资金主管部门进行核准；</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（四）资金主管部门编制项目资助计划；</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（五）区财政部门、区统计部门、市市场</w:t>
      </w:r>
      <w:r>
        <w:rPr>
          <w:rFonts w:hint="eastAsia" w:ascii="仿宋" w:hAnsi="仿宋" w:eastAsia="仿宋"/>
          <w:sz w:val="32"/>
          <w:szCs w:val="32"/>
        </w:rPr>
        <w:t>监督管理局</w:t>
      </w:r>
      <w:r>
        <w:rPr>
          <w:rFonts w:hint="eastAsia" w:ascii="仿宋" w:hAnsi="仿宋" w:eastAsia="仿宋"/>
          <w:sz w:val="32"/>
          <w:szCs w:val="32"/>
        </w:rPr>
        <w:t>南山</w:t>
      </w:r>
      <w:r>
        <w:rPr>
          <w:rFonts w:hint="eastAsia" w:ascii="仿宋" w:hAnsi="仿宋" w:eastAsia="仿宋"/>
          <w:sz w:val="32"/>
          <w:szCs w:val="32"/>
        </w:rPr>
        <w:t>监管</w:t>
      </w:r>
      <w:r>
        <w:rPr>
          <w:rFonts w:hint="eastAsia" w:ascii="仿宋" w:hAnsi="仿宋" w:eastAsia="仿宋"/>
          <w:sz w:val="32"/>
          <w:szCs w:val="32"/>
        </w:rPr>
        <w:t>局分别对企业的地方财力贡献、在地统计开展情况和注册情况等进行核查；</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（六）拟资助项目向社会公示5个工作日；</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（七）区专项资金领导小组审定；</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（八）资金主管部门会同区财政部门联合行文下达资金计划；</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（九）资金主管部门办理资金拨付手续。</w:t>
      </w:r>
    </w:p>
    <w:p>
      <w:pPr>
        <w:pStyle w:val="12"/>
        <w:shd w:val="clear" w:color="auto" w:fill="FFFFFF"/>
        <w:spacing w:before="0" w:beforeAutospacing="0" w:after="0" w:afterAutospacing="0" w:line="600" w:lineRule="exact"/>
        <w:jc w:val="both"/>
        <w:rPr>
          <w:rFonts w:eastAsia="黑体"/>
          <w:sz w:val="32"/>
          <w:szCs w:val="32"/>
        </w:rPr>
      </w:pPr>
      <w:r>
        <w:rPr>
          <w:rFonts w:hint="eastAsia" w:hAnsi="黑体" w:eastAsia="黑体"/>
          <w:sz w:val="32"/>
          <w:szCs w:val="32"/>
        </w:rPr>
        <w:t xml:space="preserve">     六、所需材料</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（一）《项目申请书》（登录南山区自主创新产业发展专项资金管理平台</w:t>
      </w:r>
      <w:r>
        <w:rPr>
          <w:rFonts w:ascii="仿宋" w:hAnsi="仿宋" w:eastAsia="仿宋"/>
          <w:sz w:val="32"/>
          <w:szCs w:val="32"/>
        </w:rPr>
        <w:t xml:space="preserve"> http://sfms.szns.gov.cn/</w:t>
      </w:r>
      <w:r>
        <w:rPr>
          <w:rFonts w:hint="eastAsia" w:ascii="仿宋" w:hAnsi="仿宋" w:eastAsia="仿宋"/>
          <w:sz w:val="32"/>
          <w:szCs w:val="32"/>
        </w:rPr>
        <w:t>在线填写，待审核通过后从系统打印申请表纸质文件原件）；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（二）营业执照（三证合一新版，未换领三证合一新版营业执照的，提交原旧版营业执照、组织机构代码证书、税务登记证书）</w:t>
      </w:r>
      <w:r>
        <w:rPr>
          <w:rFonts w:hint="eastAsia" w:ascii="仿宋" w:hAnsi="仿宋" w:eastAsia="仿宋"/>
          <w:bCs/>
          <w:sz w:val="32"/>
          <w:szCs w:val="32"/>
        </w:rPr>
        <w:t>（复印件加盖企业公章，验原件，网上原件彩色扫描上传）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（三）法定代表人身份证</w:t>
      </w:r>
      <w:r>
        <w:rPr>
          <w:rFonts w:hint="eastAsia" w:ascii="仿宋" w:hAnsi="仿宋" w:eastAsia="仿宋"/>
          <w:bCs/>
          <w:sz w:val="32"/>
          <w:szCs w:val="32"/>
        </w:rPr>
        <w:t>（复印件加盖企业公章，网上原件彩色扫描上传。分支机构可提供负责人身份证）</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（四）由税务部门开具的单位上年度完税证明</w:t>
      </w:r>
      <w:r>
        <w:rPr>
          <w:rFonts w:hint="eastAsia" w:ascii="仿宋" w:hAnsi="仿宋" w:eastAsia="仿宋"/>
          <w:bCs/>
          <w:sz w:val="32"/>
          <w:szCs w:val="32"/>
        </w:rPr>
        <w:t>（税务申报系统下载电子版打印并加盖企业公章，网上扫描上传税务申报系统下载的电子版。分支机构可提供总公司完税证明）</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（五）上一年度财务审计报告（注册未满一年的可提供验资报告）</w:t>
      </w:r>
      <w:r>
        <w:rPr>
          <w:rFonts w:hint="eastAsia" w:ascii="仿宋" w:hAnsi="仿宋" w:eastAsia="仿宋"/>
          <w:bCs/>
          <w:sz w:val="32"/>
          <w:szCs w:val="32"/>
        </w:rPr>
        <w:t>（复印件加盖企业公章，验原件，网上原件彩色扫描上传。分支机构可提供总公司财务审计报告）</w:t>
      </w:r>
      <w:r>
        <w:rPr>
          <w:rFonts w:hint="eastAsia" w:ascii="仿宋" w:hAnsi="仿宋" w:eastAsia="仿宋"/>
          <w:sz w:val="32"/>
          <w:szCs w:val="32"/>
        </w:rPr>
        <w:t>；</w:t>
      </w:r>
    </w:p>
    <w:p>
      <w:pPr>
        <w:widowControl/>
        <w:spacing w:line="600" w:lineRule="exact"/>
        <w:ind w:firstLine="640" w:firstLineChars="200"/>
        <w:rPr>
          <w:rFonts w:ascii="仿宋" w:hAnsi="仿宋" w:eastAsia="仿宋"/>
          <w:bCs/>
          <w:sz w:val="32"/>
          <w:szCs w:val="32"/>
        </w:rPr>
      </w:pPr>
      <w:r>
        <w:rPr>
          <w:rFonts w:hint="eastAsia" w:ascii="仿宋" w:hAnsi="仿宋" w:eastAsia="仿宋"/>
          <w:sz w:val="32"/>
          <w:szCs w:val="32"/>
        </w:rPr>
        <w:t>（六）获评荣誉称号的相关证明材料（文件、证书、牌匾等）</w:t>
      </w:r>
      <w:r>
        <w:rPr>
          <w:rFonts w:hint="eastAsia" w:ascii="仿宋" w:hAnsi="仿宋" w:eastAsia="仿宋"/>
          <w:bCs/>
          <w:sz w:val="32"/>
          <w:szCs w:val="32"/>
        </w:rPr>
        <w:t>（复印件加盖企业公章，网上扫描上传）；</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（七）申请三（七）认定总部注册在辖区的品牌连锁酒店管理公司提供：</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旗下三家及以上同一品牌酒店的营业执照</w:t>
      </w:r>
      <w:r>
        <w:rPr>
          <w:rFonts w:hint="eastAsia" w:ascii="仿宋" w:hAnsi="仿宋" w:eastAsia="仿宋"/>
          <w:bCs/>
          <w:sz w:val="32"/>
          <w:szCs w:val="32"/>
        </w:rPr>
        <w:t>（复印件加盖企业公章，网上扫描上传）</w:t>
      </w:r>
      <w:r>
        <w:rPr>
          <w:rFonts w:hint="eastAsia" w:ascii="仿宋" w:hAnsi="仿宋" w:eastAsia="仿宋"/>
          <w:sz w:val="32"/>
          <w:szCs w:val="32"/>
        </w:rPr>
        <w:t>。</w:t>
      </w:r>
    </w:p>
    <w:p>
      <w:pPr>
        <w:widowControl/>
        <w:spacing w:line="600" w:lineRule="exact"/>
        <w:ind w:firstLine="640" w:firstLineChars="200"/>
        <w:rPr>
          <w:rFonts w:ascii="仿宋" w:hAnsi="仿宋" w:eastAsia="仿宋"/>
          <w:bCs/>
          <w:sz w:val="32"/>
          <w:szCs w:val="32"/>
        </w:rPr>
      </w:pPr>
      <w:r>
        <w:rPr>
          <w:rFonts w:hint="eastAsia" w:ascii="仿宋" w:hAnsi="仿宋" w:eastAsia="仿宋"/>
          <w:sz w:val="32"/>
          <w:szCs w:val="32"/>
        </w:rPr>
        <w:t>（八）</w:t>
      </w:r>
      <w:r>
        <w:rPr>
          <w:rFonts w:hint="eastAsia" w:ascii="仿宋" w:hAnsi="仿宋" w:eastAsia="仿宋"/>
          <w:bCs/>
          <w:sz w:val="32"/>
          <w:szCs w:val="32"/>
        </w:rPr>
        <w:t>近三年累计获区财政资金扶持达</w:t>
      </w:r>
      <w:r>
        <w:rPr>
          <w:rFonts w:ascii="仿宋" w:hAnsi="仿宋" w:eastAsia="仿宋"/>
          <w:bCs/>
          <w:sz w:val="32"/>
          <w:szCs w:val="32"/>
        </w:rPr>
        <w:t>100</w:t>
      </w:r>
      <w:r>
        <w:rPr>
          <w:rFonts w:hint="eastAsia" w:ascii="仿宋" w:hAnsi="仿宋" w:eastAsia="仿宋"/>
          <w:bCs/>
          <w:sz w:val="32"/>
          <w:szCs w:val="32"/>
        </w:rPr>
        <w:t>万元及以上、</w:t>
      </w:r>
      <w:r>
        <w:rPr>
          <w:rFonts w:ascii="仿宋" w:hAnsi="仿宋" w:eastAsia="仿宋"/>
          <w:bCs/>
          <w:sz w:val="32"/>
          <w:szCs w:val="32"/>
        </w:rPr>
        <w:t>300</w:t>
      </w:r>
      <w:r>
        <w:rPr>
          <w:rFonts w:hint="eastAsia" w:ascii="仿宋" w:hAnsi="仿宋" w:eastAsia="仿宋"/>
          <w:bCs/>
          <w:sz w:val="32"/>
          <w:szCs w:val="32"/>
        </w:rPr>
        <w:t>万元以下企业，提供自获得政府资金支持之日起，</w:t>
      </w:r>
      <w:r>
        <w:rPr>
          <w:rFonts w:ascii="仿宋" w:hAnsi="仿宋" w:eastAsia="仿宋"/>
          <w:bCs/>
          <w:sz w:val="32"/>
          <w:szCs w:val="32"/>
        </w:rPr>
        <w:t>3</w:t>
      </w:r>
      <w:r>
        <w:rPr>
          <w:rFonts w:hint="eastAsia" w:ascii="仿宋" w:hAnsi="仿宋" w:eastAsia="仿宋"/>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ascii="仿宋" w:hAnsi="仿宋" w:eastAsia="仿宋"/>
          <w:bCs/>
          <w:sz w:val="32"/>
          <w:szCs w:val="32"/>
        </w:rPr>
      </w:pPr>
      <w:r>
        <w:rPr>
          <w:rFonts w:hint="eastAsia" w:ascii="仿宋" w:hAnsi="仿宋" w:eastAsia="仿宋"/>
          <w:bCs/>
          <w:sz w:val="32"/>
          <w:szCs w:val="32"/>
        </w:rPr>
        <w:t>近三年累计获区财政资金扶持达</w:t>
      </w:r>
      <w:r>
        <w:rPr>
          <w:rFonts w:ascii="仿宋" w:hAnsi="仿宋" w:eastAsia="仿宋"/>
          <w:bCs/>
          <w:sz w:val="32"/>
          <w:szCs w:val="32"/>
        </w:rPr>
        <w:t>300</w:t>
      </w:r>
      <w:r>
        <w:rPr>
          <w:rFonts w:hint="eastAsia" w:ascii="仿宋" w:hAnsi="仿宋" w:eastAsia="仿宋"/>
          <w:bCs/>
          <w:sz w:val="32"/>
          <w:szCs w:val="32"/>
        </w:rPr>
        <w:t>万元及以上企业，提供自获得政府资金支持之日起，</w:t>
      </w:r>
      <w:r>
        <w:rPr>
          <w:rFonts w:ascii="仿宋" w:hAnsi="仿宋" w:eastAsia="仿宋"/>
          <w:bCs/>
          <w:sz w:val="32"/>
          <w:szCs w:val="32"/>
        </w:rPr>
        <w:t>5</w:t>
      </w:r>
      <w:r>
        <w:rPr>
          <w:rFonts w:hint="eastAsia" w:ascii="仿宋" w:hAnsi="仿宋" w:eastAsia="仿宋"/>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ascii="仿宋" w:hAnsi="仿宋" w:eastAsia="仿宋"/>
          <w:bCs/>
          <w:sz w:val="32"/>
          <w:szCs w:val="32"/>
        </w:rPr>
      </w:pPr>
      <w:r>
        <w:rPr>
          <w:rFonts w:hint="eastAsia" w:ascii="仿宋" w:hAnsi="仿宋" w:eastAsia="仿宋"/>
          <w:bCs/>
          <w:sz w:val="32"/>
          <w:szCs w:val="32"/>
        </w:rPr>
        <w:t>承诺函格式参见附件，需法定代表人签字、加盖企业公章，网上原件扫描上传；</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（九）其他与项目有关的说明材料。</w:t>
      </w:r>
    </w:p>
    <w:p>
      <w:pPr>
        <w:pStyle w:val="5"/>
        <w:shd w:val="clear" w:color="auto" w:fill="FFFFFF"/>
        <w:spacing w:before="0" w:beforeAutospacing="0" w:after="0" w:afterAutospacing="0" w:line="600" w:lineRule="exact"/>
        <w:ind w:firstLine="645"/>
        <w:jc w:val="both"/>
        <w:rPr>
          <w:rFonts w:ascii="仿宋" w:hAnsi="仿宋" w:eastAsia="仿宋" w:cs="Times New Roman"/>
          <w:sz w:val="32"/>
          <w:szCs w:val="32"/>
        </w:rPr>
      </w:pPr>
      <w:r>
        <w:rPr>
          <w:rFonts w:hint="eastAsia" w:ascii="仿宋" w:hAnsi="仿宋" w:eastAsia="仿宋" w:cs="Times New Roman"/>
          <w:sz w:val="32"/>
          <w:szCs w:val="32"/>
        </w:rPr>
        <w:t>接到递交纸质材料通知后，将上述材料按顺序装订，一式一份，</w:t>
      </w:r>
      <w:r>
        <w:rPr>
          <w:rFonts w:ascii="仿宋" w:hAnsi="仿宋" w:eastAsia="仿宋" w:cs="Times New Roman"/>
          <w:sz w:val="32"/>
          <w:szCs w:val="32"/>
        </w:rPr>
        <w:t>A4</w:t>
      </w:r>
      <w:r>
        <w:rPr>
          <w:rFonts w:hint="eastAsia" w:ascii="仿宋" w:hAnsi="仿宋" w:eastAsia="仿宋" w:cs="Times New Roman"/>
          <w:sz w:val="32"/>
          <w:szCs w:val="32"/>
        </w:rPr>
        <w:t>纸正反面打印</w:t>
      </w:r>
      <w:r>
        <w:rPr>
          <w:rFonts w:ascii="仿宋" w:hAnsi="仿宋" w:eastAsia="仿宋" w:cs="Times New Roman"/>
          <w:sz w:val="32"/>
          <w:szCs w:val="32"/>
        </w:rPr>
        <w:t>/</w:t>
      </w:r>
      <w:r>
        <w:rPr>
          <w:rFonts w:hint="eastAsia" w:ascii="仿宋" w:hAnsi="仿宋" w:eastAsia="仿宋" w:cs="Times New Roman"/>
          <w:sz w:val="32"/>
          <w:szCs w:val="32"/>
        </w:rPr>
        <w:t>复印，非空白页（含封面）需连续编写页码，装订成册（胶装），加盖骑缝章提交。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 w:cs="Times New Roman"/>
          <w:kern w:val="2"/>
          <w:sz w:val="32"/>
          <w:szCs w:val="32"/>
        </w:rPr>
      </w:pPr>
      <w:r>
        <w:rPr>
          <w:rFonts w:hint="eastAsia" w:ascii="Times New Roman" w:hAnsi="Times New Roman" w:eastAsia="仿宋_GB2312" w:cs="Times New Roman"/>
          <w:sz w:val="32"/>
          <w:szCs w:val="32"/>
        </w:rPr>
        <w:t>区文化广电旅游体育局</w:t>
      </w:r>
      <w:r>
        <w:rPr>
          <w:rFonts w:hint="eastAsia" w:ascii="Times New Roman" w:hAnsi="仿宋" w:eastAsia="仿宋" w:cs="Times New Roman"/>
          <w:sz w:val="32"/>
          <w:szCs w:val="32"/>
        </w:rPr>
        <w:t>每年安排</w:t>
      </w:r>
      <w:r>
        <w:rPr>
          <w:rFonts w:ascii="Times New Roman" w:hAnsi="Times New Roman" w:eastAsia="仿宋_GB2312" w:cs="Times New Roman"/>
          <w:sz w:val="32"/>
          <w:szCs w:val="32"/>
        </w:rPr>
        <w:t>1-2</w:t>
      </w:r>
      <w:r>
        <w:rPr>
          <w:rFonts w:ascii="Times New Roman" w:eastAsia="仿宋_GB2312" w:cs="Times New Roman"/>
          <w:sz w:val="32"/>
          <w:szCs w:val="32"/>
        </w:rPr>
        <w:t>次</w:t>
      </w:r>
      <w:r>
        <w:rPr>
          <w:rFonts w:hint="eastAsia" w:ascii="Times New Roman" w:hAnsi="仿宋" w:eastAsia="仿宋" w:cs="Times New Roman"/>
          <w:sz w:val="32"/>
          <w:szCs w:val="32"/>
        </w:rPr>
        <w:t>集中受理企业申请（具体时间</w:t>
      </w:r>
      <w:r>
        <w:rPr>
          <w:rFonts w:hint="eastAsia" w:ascii="Times New Roman" w:hAnsi="仿宋" w:eastAsia="仿宋" w:cs="Times New Roman"/>
          <w:kern w:val="2"/>
          <w:sz w:val="32"/>
          <w:szCs w:val="32"/>
        </w:rPr>
        <w:t>以发布的申报通知为准），资助计划下达</w:t>
      </w:r>
      <w:r>
        <w:rPr>
          <w:rFonts w:ascii="Times New Roman" w:hAnsi="Times New Roman" w:eastAsia="仿宋" w:cs="Times New Roman"/>
          <w:kern w:val="2"/>
          <w:sz w:val="32"/>
          <w:szCs w:val="32"/>
        </w:rPr>
        <w:t>1</w:t>
      </w:r>
      <w:r>
        <w:rPr>
          <w:rFonts w:hint="eastAsia" w:ascii="Times New Roman" w:hAnsi="仿宋" w:eastAsia="仿宋" w:cs="Times New Roman"/>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5"/>
        <w:shd w:val="clear" w:color="auto" w:fill="FFFFFF"/>
        <w:spacing w:before="0" w:beforeAutospacing="0" w:after="0" w:afterAutospacing="0" w:line="600" w:lineRule="exact"/>
        <w:ind w:firstLine="645"/>
        <w:jc w:val="both"/>
        <w:rPr>
          <w:rFonts w:ascii="仿宋" w:hAnsi="仿宋" w:eastAsia="仿宋" w:cs="Times New Roman"/>
          <w:sz w:val="32"/>
          <w:szCs w:val="32"/>
        </w:rPr>
      </w:pPr>
      <w:r>
        <w:rPr>
          <w:rFonts w:hint="eastAsia" w:ascii="仿宋" w:hAnsi="仿宋" w:eastAsia="仿宋" w:cs="Times New Roman"/>
          <w:kern w:val="2"/>
          <w:sz w:val="32"/>
          <w:szCs w:val="32"/>
        </w:rPr>
        <w:t>申请本项目资助的企业应保证其申报材料的完整性、</w:t>
      </w:r>
      <w:r>
        <w:rPr>
          <w:rFonts w:hint="eastAsia" w:ascii="仿宋" w:hAnsi="仿宋" w:eastAsia="仿宋" w:cs="Times New Roman"/>
          <w:sz w:val="32"/>
          <w:szCs w:val="32"/>
        </w:rPr>
        <w:t>真实性、</w:t>
      </w:r>
      <w:r>
        <w:rPr>
          <w:rFonts w:hint="eastAsia" w:ascii="仿宋" w:hAnsi="仿宋" w:eastAsia="仿宋" w:cs="Times New Roman"/>
          <w:kern w:val="2"/>
          <w:sz w:val="32"/>
          <w:szCs w:val="32"/>
        </w:rPr>
        <w:t>准确性</w:t>
      </w:r>
      <w:r>
        <w:rPr>
          <w:rFonts w:hint="eastAsia" w:ascii="仿宋" w:hAnsi="仿宋" w:eastAsia="仿宋" w:cs="Times New Roman"/>
          <w:sz w:val="32"/>
          <w:szCs w:val="32"/>
        </w:rPr>
        <w:t>及合法性</w:t>
      </w:r>
      <w:r>
        <w:rPr>
          <w:rFonts w:hint="eastAsia" w:ascii="仿宋" w:hAnsi="仿宋" w:eastAsia="仿宋" w:cs="Times New Roman"/>
          <w:kern w:val="2"/>
          <w:sz w:val="32"/>
          <w:szCs w:val="32"/>
        </w:rPr>
        <w:t>，</w:t>
      </w:r>
      <w:r>
        <w:rPr>
          <w:rFonts w:hint="eastAsia" w:ascii="仿宋" w:hAnsi="仿宋" w:eastAsia="仿宋"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 w:cs="Times New Roman"/>
          <w:kern w:val="2"/>
          <w:sz w:val="32"/>
          <w:szCs w:val="32"/>
        </w:rPr>
      </w:pPr>
      <w:r>
        <w:rPr>
          <w:rFonts w:hint="eastAsia" w:ascii="Times New Roman" w:hAnsi="仿宋" w:eastAsia="仿宋" w:cs="Times New Roman"/>
          <w:kern w:val="2"/>
          <w:sz w:val="32"/>
          <w:szCs w:val="32"/>
        </w:rPr>
        <w:t>本规程由南山区文化广电旅游体育局负责解释，自发布之日起施行。</w:t>
      </w:r>
    </w:p>
    <w:p>
      <w:pPr>
        <w:widowControl/>
        <w:jc w:val="left"/>
        <w:rPr>
          <w:rFonts w:eastAsia="仿宋_GB2312"/>
          <w:color w:val="000000"/>
          <w:sz w:val="32"/>
          <w:szCs w:val="32"/>
        </w:rPr>
      </w:pPr>
      <w:r>
        <w:rPr>
          <w:rFonts w:eastAsia="仿宋_GB2312"/>
          <w:color w:val="000000"/>
          <w:sz w:val="32"/>
          <w:szCs w:val="32"/>
        </w:rPr>
        <w:br w:type="page"/>
      </w:r>
    </w:p>
    <w:p>
      <w:pPr>
        <w:spacing w:line="600" w:lineRule="exact"/>
        <w:rPr>
          <w:rFonts w:eastAsia="仿宋_GB2312"/>
          <w:color w:val="000000"/>
          <w:sz w:val="32"/>
          <w:szCs w:val="32"/>
        </w:rPr>
      </w:pPr>
      <w:r>
        <w:rPr>
          <w:rFonts w:hint="eastAsia" w:eastAsia="仿宋_GB2312"/>
          <w:color w:val="000000"/>
          <w:sz w:val="32"/>
          <w:szCs w:val="32"/>
        </w:rPr>
        <w:t>附件：</w:t>
      </w:r>
    </w:p>
    <w:p>
      <w:pPr>
        <w:spacing w:line="600" w:lineRule="exact"/>
      </w:pPr>
    </w:p>
    <w:p>
      <w:pPr>
        <w:spacing w:line="600" w:lineRule="exact"/>
        <w:jc w:val="center"/>
        <w:rPr>
          <w:sz w:val="44"/>
          <w:szCs w:val="44"/>
        </w:rPr>
      </w:pPr>
    </w:p>
    <w:p>
      <w:pPr>
        <w:spacing w:line="600" w:lineRule="exact"/>
        <w:jc w:val="center"/>
        <w:rPr>
          <w:sz w:val="44"/>
          <w:szCs w:val="44"/>
        </w:rPr>
      </w:pPr>
      <w:r>
        <w:rPr>
          <w:rFonts w:hint="eastAsia"/>
          <w:sz w:val="44"/>
          <w:szCs w:val="44"/>
        </w:rPr>
        <w:t>承诺函</w:t>
      </w:r>
    </w:p>
    <w:p>
      <w:pPr>
        <w:spacing w:line="600" w:lineRule="exact"/>
        <w:jc w:val="center"/>
        <w:rPr>
          <w:sz w:val="44"/>
          <w:szCs w:val="44"/>
        </w:rPr>
      </w:pPr>
    </w:p>
    <w:p>
      <w:pPr>
        <w:pStyle w:val="10"/>
        <w:spacing w:before="0" w:beforeAutospacing="0" w:after="0" w:afterAutospacing="0"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我公司承诺：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在获得南山区自主创新产业发展专项资金资助达到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万元后，三年内注册登记地址不迁出南山区；获得南山区自主创新产业发展专项资金资助达到</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万元后，五年内注册登记地址不迁出南山区。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同时，在上述期限内不改变在南山区的纳税义务和统计数据申报义务，并配合相关职能部门履行好社会责任。</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特此承诺</w:t>
      </w:r>
      <w:r>
        <w:rPr>
          <w:rFonts w:ascii="Times New Roman" w:hAnsi="Times New Roman" w:eastAsia="仿宋_GB2312" w:cs="Times New Roman"/>
          <w:color w:val="000000"/>
          <w:sz w:val="32"/>
          <w:szCs w:val="32"/>
        </w:rPr>
        <w:t>!</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XXX</w:t>
      </w:r>
      <w:r>
        <w:rPr>
          <w:rFonts w:hint="eastAsia" w:ascii="Times New Roman" w:hAnsi="Times New Roman" w:eastAsia="仿宋_GB2312" w:cs="Times New Roman"/>
          <w:color w:val="000000"/>
          <w:sz w:val="32"/>
          <w:szCs w:val="32"/>
        </w:rPr>
        <w:t>公司（盖章）</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法人签字：</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日</w:t>
      </w:r>
    </w:p>
    <w:p>
      <w:pPr>
        <w:widowControl/>
        <w:spacing w:line="600" w:lineRule="exact"/>
        <w:ind w:firstLine="643" w:firstLineChars="200"/>
        <w:rPr>
          <w:rFonts w:eastAsia="仿宋_GB2312"/>
          <w:b/>
          <w:sz w:val="32"/>
          <w:szCs w:val="32"/>
        </w:rPr>
      </w:pPr>
    </w:p>
    <w:p>
      <w:pPr>
        <w:spacing w:line="600" w:lineRule="exact"/>
      </w:pPr>
    </w:p>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60E9E"/>
    <w:rsid w:val="000020EB"/>
    <w:rsid w:val="00073F08"/>
    <w:rsid w:val="000906D7"/>
    <w:rsid w:val="00091B98"/>
    <w:rsid w:val="000C1F12"/>
    <w:rsid w:val="000C50C6"/>
    <w:rsid w:val="000D0E25"/>
    <w:rsid w:val="000D6854"/>
    <w:rsid w:val="000F2E17"/>
    <w:rsid w:val="0011145B"/>
    <w:rsid w:val="00113909"/>
    <w:rsid w:val="001218A2"/>
    <w:rsid w:val="001759D0"/>
    <w:rsid w:val="001B0291"/>
    <w:rsid w:val="001D14F8"/>
    <w:rsid w:val="001D375A"/>
    <w:rsid w:val="001E6C91"/>
    <w:rsid w:val="001F1555"/>
    <w:rsid w:val="001F4A07"/>
    <w:rsid w:val="00216C5A"/>
    <w:rsid w:val="00221545"/>
    <w:rsid w:val="00222B09"/>
    <w:rsid w:val="0023012D"/>
    <w:rsid w:val="002369AD"/>
    <w:rsid w:val="0023760E"/>
    <w:rsid w:val="00241B79"/>
    <w:rsid w:val="00242FBA"/>
    <w:rsid w:val="0025749E"/>
    <w:rsid w:val="00283028"/>
    <w:rsid w:val="00285AF9"/>
    <w:rsid w:val="0029432A"/>
    <w:rsid w:val="002A38C5"/>
    <w:rsid w:val="002A3AB8"/>
    <w:rsid w:val="002C06B1"/>
    <w:rsid w:val="002E6F79"/>
    <w:rsid w:val="00326292"/>
    <w:rsid w:val="00345BED"/>
    <w:rsid w:val="0043142C"/>
    <w:rsid w:val="00432314"/>
    <w:rsid w:val="00441AA9"/>
    <w:rsid w:val="00457A09"/>
    <w:rsid w:val="004609B9"/>
    <w:rsid w:val="00467D12"/>
    <w:rsid w:val="004A0FA4"/>
    <w:rsid w:val="004C7D4B"/>
    <w:rsid w:val="004E3404"/>
    <w:rsid w:val="005333CB"/>
    <w:rsid w:val="00544902"/>
    <w:rsid w:val="00547408"/>
    <w:rsid w:val="00584AAB"/>
    <w:rsid w:val="006158B9"/>
    <w:rsid w:val="00627874"/>
    <w:rsid w:val="0066138D"/>
    <w:rsid w:val="006648B7"/>
    <w:rsid w:val="00685049"/>
    <w:rsid w:val="006C7747"/>
    <w:rsid w:val="006F5BAF"/>
    <w:rsid w:val="006F5CBC"/>
    <w:rsid w:val="007042E7"/>
    <w:rsid w:val="0070483B"/>
    <w:rsid w:val="007050B7"/>
    <w:rsid w:val="00770553"/>
    <w:rsid w:val="00774475"/>
    <w:rsid w:val="00796C22"/>
    <w:rsid w:val="007E7E7C"/>
    <w:rsid w:val="00803F57"/>
    <w:rsid w:val="00810488"/>
    <w:rsid w:val="008263F7"/>
    <w:rsid w:val="008533C4"/>
    <w:rsid w:val="008979FC"/>
    <w:rsid w:val="008C37C7"/>
    <w:rsid w:val="008F0D25"/>
    <w:rsid w:val="008F4DA1"/>
    <w:rsid w:val="00901463"/>
    <w:rsid w:val="009436B1"/>
    <w:rsid w:val="00960542"/>
    <w:rsid w:val="009605B7"/>
    <w:rsid w:val="00993AB5"/>
    <w:rsid w:val="00993D4E"/>
    <w:rsid w:val="009E7334"/>
    <w:rsid w:val="00A15199"/>
    <w:rsid w:val="00A33619"/>
    <w:rsid w:val="00A60418"/>
    <w:rsid w:val="00AB2334"/>
    <w:rsid w:val="00AD3797"/>
    <w:rsid w:val="00AD55A2"/>
    <w:rsid w:val="00B07DC2"/>
    <w:rsid w:val="00B22CCA"/>
    <w:rsid w:val="00B53ED1"/>
    <w:rsid w:val="00B71EE9"/>
    <w:rsid w:val="00B74396"/>
    <w:rsid w:val="00B843F9"/>
    <w:rsid w:val="00B84DA6"/>
    <w:rsid w:val="00BE0A3B"/>
    <w:rsid w:val="00BF4AEC"/>
    <w:rsid w:val="00C16F82"/>
    <w:rsid w:val="00C37FC3"/>
    <w:rsid w:val="00C4552D"/>
    <w:rsid w:val="00C47975"/>
    <w:rsid w:val="00C82641"/>
    <w:rsid w:val="00CC3116"/>
    <w:rsid w:val="00CC4186"/>
    <w:rsid w:val="00CD5BDA"/>
    <w:rsid w:val="00D00A10"/>
    <w:rsid w:val="00D31363"/>
    <w:rsid w:val="00D622C5"/>
    <w:rsid w:val="00D72610"/>
    <w:rsid w:val="00D95D8C"/>
    <w:rsid w:val="00DA7CA3"/>
    <w:rsid w:val="00DB1FAC"/>
    <w:rsid w:val="00DE09CD"/>
    <w:rsid w:val="00E00AB3"/>
    <w:rsid w:val="00E1051A"/>
    <w:rsid w:val="00E10AFF"/>
    <w:rsid w:val="00E11762"/>
    <w:rsid w:val="00EB1457"/>
    <w:rsid w:val="00EB4CA2"/>
    <w:rsid w:val="00EC0F88"/>
    <w:rsid w:val="00ED389C"/>
    <w:rsid w:val="00ED698F"/>
    <w:rsid w:val="00EF136B"/>
    <w:rsid w:val="00F02FA9"/>
    <w:rsid w:val="00F24BFD"/>
    <w:rsid w:val="00F53FEC"/>
    <w:rsid w:val="00F54A5D"/>
    <w:rsid w:val="00F65260"/>
    <w:rsid w:val="00F87575"/>
    <w:rsid w:val="00FA062B"/>
    <w:rsid w:val="00FD410F"/>
    <w:rsid w:val="00FE08EB"/>
    <w:rsid w:val="00FF5372"/>
    <w:rsid w:val="078F57D5"/>
    <w:rsid w:val="0AD23F58"/>
    <w:rsid w:val="0B760E9E"/>
    <w:rsid w:val="0BE40BFD"/>
    <w:rsid w:val="143F64D7"/>
    <w:rsid w:val="14E00D0A"/>
    <w:rsid w:val="1D0F2DFB"/>
    <w:rsid w:val="21D303FE"/>
    <w:rsid w:val="26187FDF"/>
    <w:rsid w:val="2825081C"/>
    <w:rsid w:val="29713658"/>
    <w:rsid w:val="37B867E0"/>
    <w:rsid w:val="41D173D9"/>
    <w:rsid w:val="4D895845"/>
    <w:rsid w:val="50CE4A19"/>
    <w:rsid w:val="544D20DC"/>
    <w:rsid w:val="5E902782"/>
    <w:rsid w:val="623764CC"/>
    <w:rsid w:val="753E0659"/>
    <w:rsid w:val="7A6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 w:type="paragraph" w:customStyle="1" w:styleId="12">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528</Words>
  <Characters>3010</Characters>
  <Lines>25</Lines>
  <Paragraphs>7</Paragraphs>
  <TotalTime>6</TotalTime>
  <ScaleCrop>false</ScaleCrop>
  <LinksUpToDate>false</LinksUpToDate>
  <CharactersWithSpaces>3531</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2019-10-17T02:56:00Z</dcterms:created>
  <dc:creator>Administrator</dc:creator>
  <cp:lastModifiedBy>fxm</cp:lastModifiedBy>
  <cp:lastPrinted>2017-06-19T07:33:00Z</cp:lastPrinted>
  <dcterms:modified xsi:type="dcterms:W3CDTF">2020-01-08T01:59:05Z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