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80"/>
        <w:gridCol w:w="414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2020年龙岗区工业企业智能制造转型计划（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  <w:lang w:val="en-US" w:eastAsia="zh-CN"/>
              </w:rPr>
              <w:t>第二批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）拟扶持企业名单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拟扶持金额（万元）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深圳市国显科技有限公司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EI智能客服解决方案、Modelarts AI开发平台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深圳麦克维尔空调有限公司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SAP上云升级解决方案、PDM系统上云升级解决方案、IOT系统上云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187.37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深圳市艾比森光电股份有限公司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服务信息化及TMS系统上云方案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38.33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深圳市元征科技股份有限公司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车联网系统上云-IAAS资源申请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深圳市亚辉龙生物科技股份有限公司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供应商管理解决方案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90.25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深圳市迈腾电子有限公司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金蝶ERP解决方案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90.72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南塑建材塑胶制品(深圳)有限公司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注塑云智能工艺专家系统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金雅豪精密金属科技（深圳）股份有限公司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伊之密MES系统解决方案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49.82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深圳市欣茂鑫实业有限公司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IOT解决方案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49.72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深圳市锦鹏五金塑胶有限公司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泛微OA定制化方案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49.45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深圳市睿视科技有限公司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业务系统上云-IAAS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47.16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深圳市坤兴科技有限公司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供应商管理解决方案、welink会议系统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46.11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深圳市唯真电机发展有限公司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泛微OA定制化方案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41.17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深圳市锴诚精密模具有限公司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数智工厂MES解决方案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深圳市佳源央厨食品有限公司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商业智能BI分析平台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46.94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深圳市信宇人科技股份有限公司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泛微OA定制化方案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>45.33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91414"/>
    <w:rsid w:val="4F79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2020-12-10T09:17:00Z</dcterms:created>
  <dc:creator>李曼婷</dc:creator>
  <cp:lastModifiedBy>李曼婷</cp:lastModifiedBy>
  <dcterms:modified xsi:type="dcterms:W3CDTF">2020-12-10T09:17:27Z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