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560" w:lineRule="exact"/>
        <w:rPr>
          <w:rFonts w:ascii="宋体" w:hAnsi="宋体" w:cs="宋体"/>
          <w:b/>
          <w:bCs/>
          <w:color w:val="333333"/>
          <w:sz w:val="32"/>
          <w:szCs w:val="32"/>
        </w:rPr>
      </w:pPr>
      <w:r>
        <w:rPr>
          <w:rFonts w:hint="eastAsia" w:ascii="宋体" w:hAnsi="宋体" w:cs="宋体"/>
          <w:b/>
          <w:bCs/>
          <w:color w:val="333333"/>
          <w:sz w:val="32"/>
          <w:szCs w:val="32"/>
        </w:rPr>
        <w:t>附件1：</w:t>
      </w:r>
    </w:p>
    <w:p>
      <w:pPr>
        <w:spacing w:before="100" w:beforeAutospacing="1" w:after="100" w:afterAutospacing="1" w:line="560" w:lineRule="exact"/>
        <w:jc w:val="center"/>
        <w:rPr>
          <w:rFonts w:ascii="宋体" w:hAnsi="宋体" w:cs="宋体"/>
          <w:b/>
          <w:bCs/>
          <w:color w:val="333333"/>
          <w:sz w:val="32"/>
          <w:szCs w:val="32"/>
        </w:rPr>
      </w:pPr>
      <w:r>
        <w:rPr>
          <w:rFonts w:hint="eastAsia" w:ascii="宋体" w:hAnsi="宋体"/>
          <w:b/>
          <w:sz w:val="44"/>
          <w:szCs w:val="44"/>
        </w:rPr>
        <w:t>龙华区20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20</w:t>
      </w:r>
      <w:r>
        <w:rPr>
          <w:rFonts w:hint="eastAsia" w:ascii="宋体" w:hAnsi="宋体"/>
          <w:b/>
          <w:sz w:val="44"/>
          <w:szCs w:val="44"/>
        </w:rPr>
        <w:t>年总部企业认定情况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_GB2312" w:hAnsi="宋体" w:eastAsia="仿宋_GB2312" w:cs="宋体"/>
          <w:b/>
          <w:bCs/>
          <w:color w:val="333333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根据《深圳市龙华区加快发展总部经济实施办法》，经区总部经济发展工作领导小组审核，认定情况结果如下：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意认定美律电子（深圳）有限公司、深圳市海目星激光智能装备股份有限公司、深圳市诺峰光电设备有限公司、深圳市华阳国际工程设计股份有限公司、三赢科技（深圳）有限公司为龙华区20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年总部企业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before="100" w:beforeAutospacing="1" w:after="100" w:afterAutospacing="1"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</w:p>
    <w:p>
      <w:pPr>
        <w:spacing w:before="100" w:beforeAutospacing="1" w:after="100" w:afterAutospacing="1"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before="100" w:beforeAutospacing="1" w:after="100" w:afterAutospacing="1" w:line="560" w:lineRule="exact"/>
        <w:rPr>
          <w:rFonts w:ascii="仿宋_GB2312" w:hAnsi="宋体" w:eastAsia="仿宋_GB2312" w:cs="宋体"/>
          <w:b/>
          <w:bCs/>
          <w:color w:val="333333"/>
          <w:sz w:val="32"/>
          <w:szCs w:val="32"/>
        </w:rPr>
      </w:pPr>
    </w:p>
    <w:p>
      <w:pPr>
        <w:spacing w:line="560" w:lineRule="exact"/>
        <w:ind w:right="160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333333"/>
          <w:sz w:val="32"/>
          <w:szCs w:val="32"/>
        </w:rPr>
        <w:t xml:space="preserve">              </w:t>
      </w:r>
      <w:r>
        <w:rPr>
          <w:rFonts w:hint="eastAsia" w:ascii="仿宋_GB2312" w:hAnsi="宋体" w:eastAsia="仿宋_GB2312"/>
          <w:sz w:val="32"/>
          <w:szCs w:val="32"/>
        </w:rPr>
        <w:t>龙华区总部经济发展工作领导小组办公室</w:t>
      </w:r>
    </w:p>
    <w:p>
      <w:pPr>
        <w:spacing w:line="560" w:lineRule="exact"/>
        <w:ind w:right="640" w:firstLine="4640" w:firstLineChars="145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BD31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欧阳欢</cp:lastModifiedBy>
  <dcterms:modified xsi:type="dcterms:W3CDTF">2021-02-10T10:02:33Z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